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B7F833C">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黑体" w:hAnsi="黑体" w:eastAsia="黑体" w:cs="黑体"/>
          <w:sz w:val="32"/>
          <w:szCs w:val="32"/>
          <w:u w:val="none"/>
          <w:lang w:val="en-US" w:eastAsia="zh-CN"/>
        </w:rPr>
      </w:pPr>
      <w:r>
        <w:rPr>
          <w:rFonts w:hint="eastAsia" w:ascii="黑体" w:hAnsi="黑体" w:eastAsia="黑体" w:cs="黑体"/>
          <w:sz w:val="32"/>
          <w:szCs w:val="32"/>
          <w:u w:val="none"/>
          <w:lang w:val="en-US" w:eastAsia="zh-CN"/>
        </w:rPr>
        <w:t>附件：</w:t>
      </w:r>
    </w:p>
    <w:p w14:paraId="75D8B87D">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黑体" w:hAnsi="黑体" w:eastAsia="黑体" w:cs="黑体"/>
          <w:sz w:val="32"/>
          <w:szCs w:val="32"/>
          <w:u w:val="none"/>
          <w:lang w:val="en-US" w:eastAsia="zh-CN"/>
        </w:rPr>
      </w:pPr>
      <w:bookmarkStart w:id="0" w:name="_GoBack"/>
      <w:bookmarkEnd w:id="0"/>
    </w:p>
    <w:p w14:paraId="5268C2AE">
      <w:pPr>
        <w:keepNext w:val="0"/>
        <w:keepLines w:val="0"/>
        <w:pageBreakBefore w:val="0"/>
        <w:kinsoku/>
        <w:wordWrap/>
        <w:overflowPunct/>
        <w:topLinePunct w:val="0"/>
        <w:autoSpaceDE/>
        <w:autoSpaceDN/>
        <w:bidi w:val="0"/>
        <w:adjustRightInd/>
        <w:snapToGrid w:val="0"/>
        <w:spacing w:line="560" w:lineRule="exact"/>
        <w:jc w:val="center"/>
        <w:textAlignment w:val="auto"/>
        <w:rPr>
          <w:rFonts w:hint="eastAsia" w:ascii="方正小标宋简体" w:eastAsia="方正小标宋简体" w:cs="方正小标宋简体"/>
          <w:b w:val="0"/>
          <w:bCs w:val="0"/>
          <w:color w:val="auto"/>
          <w:sz w:val="44"/>
          <w:szCs w:val="44"/>
        </w:rPr>
      </w:pPr>
      <w:r>
        <w:rPr>
          <w:rFonts w:hint="eastAsia" w:ascii="方正小标宋简体" w:eastAsia="方正小标宋简体" w:cs="方正小标宋简体"/>
          <w:b w:val="0"/>
          <w:bCs w:val="0"/>
          <w:color w:val="auto"/>
          <w:sz w:val="44"/>
          <w:szCs w:val="44"/>
        </w:rPr>
        <w:t>许昌陶瓷职业学院</w:t>
      </w:r>
      <w:r>
        <w:rPr>
          <w:rFonts w:hint="eastAsia" w:ascii="方正小标宋简体" w:hAnsi="方正小标宋简体" w:eastAsia="方正小标宋简体" w:cs="方正小标宋简体"/>
          <w:b w:val="0"/>
          <w:bCs/>
          <w:sz w:val="44"/>
          <w:szCs w:val="44"/>
          <w:lang w:val="en-US" w:eastAsia="zh-CN"/>
        </w:rPr>
        <w:t>食品生产安全</w:t>
      </w:r>
      <w:r>
        <w:rPr>
          <w:rFonts w:hint="eastAsia" w:ascii="方正小标宋简体" w:hAnsi="方正小标宋简体" w:eastAsia="方正小标宋简体" w:cs="方正小标宋简体"/>
          <w:b w:val="0"/>
          <w:bCs/>
          <w:sz w:val="44"/>
          <w:szCs w:val="44"/>
        </w:rPr>
        <w:t>管理制度</w:t>
      </w:r>
    </w:p>
    <w:p w14:paraId="3890010A">
      <w:pPr>
        <w:rPr>
          <w:rFonts w:hint="eastAsia" w:ascii="黑体" w:hAnsi="黑体" w:eastAsia="黑体" w:cs="黑体"/>
          <w:b w:val="0"/>
          <w:bCs w:val="0"/>
          <w:color w:val="000000"/>
          <w:kern w:val="0"/>
          <w:sz w:val="32"/>
          <w:szCs w:val="32"/>
          <w:lang w:val="en-US" w:eastAsia="zh-CN"/>
        </w:rPr>
      </w:pPr>
    </w:p>
    <w:p w14:paraId="10F963C9">
      <w:pPr>
        <w:rPr>
          <w:rFonts w:hint="eastAsia"/>
          <w:sz w:val="22"/>
          <w:szCs w:val="28"/>
          <w:lang w:eastAsia="zh-CN"/>
        </w:rPr>
      </w:pPr>
      <w:r>
        <w:rPr>
          <w:rFonts w:hint="eastAsia" w:ascii="黑体" w:hAnsi="黑体" w:eastAsia="黑体" w:cs="黑体"/>
          <w:b w:val="0"/>
          <w:bCs w:val="0"/>
          <w:color w:val="000000"/>
          <w:kern w:val="0"/>
          <w:sz w:val="32"/>
          <w:szCs w:val="32"/>
          <w:lang w:val="en-US" w:eastAsia="zh-CN"/>
        </w:rPr>
        <w:t>一、食品安全综合管理制度</w:t>
      </w:r>
    </w:p>
    <w:p w14:paraId="3C9AB82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lang w:eastAsia="zh-CN"/>
        </w:rPr>
        <w:t>许昌陶瓷职业学院餐厅严格遵守国家及地方关于食品安全的法律法规，特别是针对学校餐饮服务的特殊规定。同时，确保食品生产经营活动符合《食品安全国家标准》等相关标准，为学生提供安全、卫生的餐饮环境。</w:t>
      </w:r>
    </w:p>
    <w:p w14:paraId="14CB6BD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lang w:eastAsia="zh-CN"/>
        </w:rPr>
        <w:t>餐厅应建立清晰的组织架构，明确各部门及人员的职责。设立专门的食品安全管理部门，负责制定食品安全政策、监督食品采购、加工、储存等各环节，确保食品安全。指定专人负责食品安全管理，确保各项制度得到有效执行。</w:t>
      </w:r>
    </w:p>
    <w:p w14:paraId="42D2180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lang w:eastAsia="zh-CN"/>
        </w:rPr>
        <w:t>餐厅定期开展食品安全风险评估，识别潜在的食品安全风险点，如食材采购、加工过程、储存条件等。针对这些风险点，制定具体的防控措施，如建立严格的供应商审核制度、加强食品加工过程的卫生管理、设置合理的储存温度和湿度等。</w:t>
      </w:r>
    </w:p>
    <w:p w14:paraId="383184B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lang w:eastAsia="zh-CN"/>
        </w:rPr>
        <w:t>餐厅建立规范的食品采购制度，确保从合法、有资质的供应商处采购食品。对采购的食品进行严格的验收，确保其符合安全标准。同时，加强食品储存管理，确保储存环境清洁、卫生，防止食品受潮、霉变或受到其他污染。</w:t>
      </w:r>
    </w:p>
    <w:p w14:paraId="7C65A1C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lang w:eastAsia="zh-CN"/>
        </w:rPr>
        <w:t>餐厅制定严格的食品加工操作规范，确保食品加工过程符合卫生要求。食品加工人员持有健康证，并定期进行体检。同时，实行食品留样制度，对每餐次的食品进行留样，以便在发生食品安全问题时进行追溯。</w:t>
      </w:r>
    </w:p>
    <w:p w14:paraId="6CBA41D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lang w:eastAsia="zh-CN"/>
        </w:rPr>
        <w:t>餐厅加强对餐具的消毒管理，确保餐具清洁卫生。使用符合卫生标准的消毒设备和方法进行餐具消毒。同时，保持餐厅内环境整洁，定期进行卫生清洁和消毒工作，防止细菌滋生。</w:t>
      </w:r>
    </w:p>
    <w:p w14:paraId="0DBE027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lang w:eastAsia="zh-CN"/>
        </w:rPr>
        <w:t>餐厅定期开展食品安全培训，提高餐厅工作人员的食品安全意识和操作技能。培训内容涵盖食品安全法律法规、食品安全知识、食品加工操作规范等方面。同时，加强对学生和教职工的食品安全宣传教育，增强他们的食品安全意识和自我保护能力。</w:t>
      </w:r>
    </w:p>
    <w:p w14:paraId="2B831D3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lang w:eastAsia="zh-CN"/>
        </w:rPr>
        <w:t>餐厅接受学校和相关部门的食品安全监督，定期进行食品安全检查和评估。对于发现的问题和隐患，及时整改并落实到位。同时，建立食品安全考核制度，对餐厅的食品安全工作进行考核和评价，确保各项制度得到有效执行。</w:t>
      </w:r>
    </w:p>
    <w:p w14:paraId="6BD8E5F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sz w:val="32"/>
          <w:szCs w:val="32"/>
        </w:rPr>
      </w:pP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lang w:eastAsia="zh-CN"/>
        </w:rPr>
        <w:t>餐厅建立食品安全事故应急预案，明确应急处置程序和责任人。在发生食品安全事故时，立即启动应急预案，采取有效措施控制事态发展，并及时向学校和相关部门报告。同时，配合相关部门进行事故调查和处理，确保事故得到妥善处理。</w:t>
      </w:r>
    </w:p>
    <w:p w14:paraId="4C5DC9F3">
      <w:pPr>
        <w:keepNext w:val="0"/>
        <w:keepLines w:val="0"/>
        <w:pageBreakBefore w:val="0"/>
        <w:widowControl/>
        <w:kinsoku/>
        <w:wordWrap/>
        <w:overflowPunct/>
        <w:topLinePunct w:val="0"/>
        <w:autoSpaceDE/>
        <w:autoSpaceDN/>
        <w:bidi w:val="0"/>
        <w:adjustRightInd/>
        <w:snapToGrid/>
        <w:spacing w:line="560" w:lineRule="exact"/>
        <w:ind w:firstLine="480"/>
        <w:textAlignment w:val="auto"/>
        <w:rPr>
          <w:rFonts w:hint="eastAsia" w:ascii="黑体" w:hAnsi="黑体" w:eastAsia="黑体" w:cs="黑体"/>
          <w:b w:val="0"/>
          <w:bCs w:val="0"/>
          <w:color w:val="000000"/>
          <w:kern w:val="0"/>
          <w:sz w:val="32"/>
          <w:szCs w:val="32"/>
          <w:lang w:val="en-US" w:eastAsia="zh-CN"/>
        </w:rPr>
      </w:pPr>
      <w:r>
        <w:rPr>
          <w:rFonts w:hint="eastAsia" w:ascii="黑体" w:hAnsi="黑体" w:eastAsia="黑体" w:cs="黑体"/>
          <w:b w:val="0"/>
          <w:bCs w:val="0"/>
          <w:color w:val="000000"/>
          <w:kern w:val="0"/>
          <w:sz w:val="32"/>
          <w:szCs w:val="32"/>
          <w:lang w:val="en-US" w:eastAsia="zh-CN"/>
        </w:rPr>
        <w:t>二、从业人员食品安全知识培训制度</w:t>
      </w:r>
    </w:p>
    <w:p w14:paraId="34475A4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1. 食品安全法律法规：培训从业人员对《食品安全法》《食品安全法实施条例》等法律法规的理解和掌握，明确食品安全责任。</w:t>
      </w:r>
    </w:p>
    <w:p w14:paraId="340892C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2. 食品安全知识：培训从业人员对食品安全的基本知识，包括食品污染、食品添加剂、食品营养等方面的知识。</w:t>
      </w:r>
    </w:p>
    <w:p w14:paraId="34D4928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3. 食品卫生知识：培训从业人员对食品卫生的基本要求，包括食品加工场所的卫生、食品加工过程的卫生、食品储存和运输的卫生等方面的知识。</w:t>
      </w:r>
    </w:p>
    <w:p w14:paraId="2708009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lang w:eastAsia="zh-CN"/>
        </w:rPr>
        <w:t>. 食品事故处理知识：培训从业人员对食品事故的发现、报告和处理方法，提高他们应对突发事件的能力。</w:t>
      </w:r>
    </w:p>
    <w:p w14:paraId="4075294B">
      <w:pPr>
        <w:keepNext w:val="0"/>
        <w:keepLines w:val="0"/>
        <w:pageBreakBefore w:val="0"/>
        <w:widowControl/>
        <w:kinsoku/>
        <w:wordWrap/>
        <w:overflowPunct/>
        <w:topLinePunct w:val="0"/>
        <w:autoSpaceDE/>
        <w:autoSpaceDN/>
        <w:bidi w:val="0"/>
        <w:adjustRightInd/>
        <w:snapToGrid/>
        <w:spacing w:line="560" w:lineRule="exact"/>
        <w:ind w:firstLine="480"/>
        <w:textAlignment w:val="auto"/>
        <w:rPr>
          <w:rFonts w:hint="eastAsia" w:ascii="黑体" w:hAnsi="黑体" w:eastAsia="黑体" w:cs="黑体"/>
          <w:b w:val="0"/>
          <w:bCs w:val="0"/>
          <w:color w:val="000000"/>
          <w:kern w:val="0"/>
          <w:sz w:val="32"/>
          <w:szCs w:val="32"/>
          <w:lang w:val="en-US" w:eastAsia="zh-CN"/>
        </w:rPr>
      </w:pPr>
      <w:r>
        <w:rPr>
          <w:rFonts w:hint="eastAsia" w:ascii="黑体" w:hAnsi="黑体" w:eastAsia="黑体" w:cs="黑体"/>
          <w:b w:val="0"/>
          <w:bCs w:val="0"/>
          <w:color w:val="000000"/>
          <w:kern w:val="0"/>
          <w:sz w:val="32"/>
          <w:szCs w:val="32"/>
          <w:lang w:val="en-US" w:eastAsia="zh-CN"/>
        </w:rPr>
        <w:t>三、</w:t>
      </w:r>
      <w:r>
        <w:rPr>
          <w:rFonts w:hint="default" w:ascii="黑体" w:hAnsi="黑体" w:eastAsia="黑体" w:cs="黑体"/>
          <w:b w:val="0"/>
          <w:bCs w:val="0"/>
          <w:color w:val="000000"/>
          <w:kern w:val="0"/>
          <w:sz w:val="32"/>
          <w:szCs w:val="32"/>
          <w:lang w:val="en-US" w:eastAsia="zh-CN"/>
        </w:rPr>
        <w:t>从业人员健康检查</w:t>
      </w:r>
      <w:r>
        <w:rPr>
          <w:rFonts w:hint="eastAsia" w:ascii="黑体" w:hAnsi="黑体" w:eastAsia="黑体" w:cs="黑体"/>
          <w:b w:val="0"/>
          <w:bCs w:val="0"/>
          <w:color w:val="000000"/>
          <w:kern w:val="0"/>
          <w:sz w:val="32"/>
          <w:szCs w:val="32"/>
          <w:lang w:val="en-US" w:eastAsia="zh-CN"/>
        </w:rPr>
        <w:t>制度</w:t>
      </w:r>
    </w:p>
    <w:p w14:paraId="07DC4ED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1. 健康审查：对从业人员进行体格检查、实验室检验和影像学检查等，以评估其身体健康状况和职业病风险。这些检查项目可能根据岗位特点和职业风险的不同而有所差异。</w:t>
      </w:r>
    </w:p>
    <w:p w14:paraId="7E1D6FD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2. 职业病筛查：针对特定行业或岗位，对从业人员进行特定职业病的筛查，如尘肺病、化学中毒等。这有助于及时发现职业病隐患，采取相应的预防措施。</w:t>
      </w:r>
    </w:p>
    <w:p w14:paraId="7DCA707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3. 定期体检：根据岗位特点和职业风险，规定不同岗位的从业人员进行定期体检。体检项目通常包括身体状况检查、生命体征监测、血液、尿液和生化等化验检查、放射线检查等，以全面评估从业人员的健康状况。</w:t>
      </w:r>
    </w:p>
    <w:p w14:paraId="6D596C7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eastAsia="zh-CN"/>
        </w:rPr>
        <w:t>4. 健康评估与咨询：根据体检结果，对从业人员的健康状况进行评估，并出具健康证明或健康评估报告。同时，针对体检结果提供健康指导和咨询，包括生活方式、饮食、运动等方面的建议，帮助从业人员改善健康状况。</w:t>
      </w:r>
    </w:p>
    <w:p w14:paraId="4725148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b w:val="0"/>
          <w:bCs w:val="0"/>
          <w:color w:val="000000"/>
          <w:kern w:val="0"/>
          <w:sz w:val="32"/>
          <w:szCs w:val="32"/>
          <w:lang w:val="en-US" w:eastAsia="zh-CN"/>
        </w:rPr>
      </w:pPr>
      <w:r>
        <w:rPr>
          <w:rFonts w:hint="eastAsia" w:ascii="黑体" w:hAnsi="黑体" w:eastAsia="黑体" w:cs="黑体"/>
          <w:b w:val="0"/>
          <w:bCs w:val="0"/>
          <w:color w:val="000000"/>
          <w:kern w:val="0"/>
          <w:sz w:val="32"/>
          <w:szCs w:val="32"/>
          <w:lang w:val="en-US" w:eastAsia="zh-CN"/>
        </w:rPr>
        <w:t>四、</w:t>
      </w:r>
      <w:r>
        <w:rPr>
          <w:rFonts w:hint="default" w:ascii="黑体" w:hAnsi="黑体" w:eastAsia="黑体" w:cs="黑体"/>
          <w:b w:val="0"/>
          <w:bCs w:val="0"/>
          <w:color w:val="000000"/>
          <w:kern w:val="0"/>
          <w:sz w:val="32"/>
          <w:szCs w:val="32"/>
          <w:lang w:val="en-US" w:eastAsia="zh-CN"/>
        </w:rPr>
        <w:t>从业人员</w:t>
      </w:r>
      <w:r>
        <w:rPr>
          <w:rFonts w:hint="eastAsia" w:ascii="黑体" w:hAnsi="黑体" w:eastAsia="黑体" w:cs="黑体"/>
          <w:b w:val="0"/>
          <w:bCs w:val="0"/>
          <w:color w:val="000000"/>
          <w:kern w:val="0"/>
          <w:sz w:val="32"/>
          <w:szCs w:val="32"/>
          <w:lang w:val="en-US" w:eastAsia="zh-CN"/>
        </w:rPr>
        <w:t>个人卫生管理制度</w:t>
      </w:r>
    </w:p>
    <w:p w14:paraId="4BE7813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1. 个人卫生习惯：从业人员应养成良好的个人卫生习惯，包括勤洗手、勤剪指甲、勤洗澡、勤换衣物等。特别是在接触食品、药品或其他可能对卫生要求较高的物品时，更应严格遵守个人卫生规范。</w:t>
      </w:r>
    </w:p>
    <w:p w14:paraId="07EAF55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2. 工作服管理：从业人员应穿着整洁干净的工作服上岗，工作服应定期清洗、消毒和更换。不同岗位的工作人员应有明显标识的工作服，以防止交叉感染。</w:t>
      </w:r>
    </w:p>
    <w:p w14:paraId="3C0DF9F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3. 饮食卫生：从业人员在工作期间应遵守饮食卫生规定，不得在工作场所进食或存放食品。同时，应确保饮用水源的安全卫生，避免饮用未经消毒的水。</w:t>
      </w:r>
    </w:p>
    <w:p w14:paraId="0E63B4B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4. 防护用品使用：对于需要佩戴防护用品的岗位，从业人员应正确佩戴和使用防护用品，如口罩、手套、帽子等。防护用品应定期更换，确保其有效性和安全性。</w:t>
      </w:r>
    </w:p>
    <w:p w14:paraId="0580815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5. 健康教育与培训：定期对从业人员进行健康教育和培训，提高其对个人卫生和卫生安全的认识和重视程度。培训内容可以包括个人卫生知识、传染病预防知识、工作场所卫生要求等。</w:t>
      </w:r>
    </w:p>
    <w:p w14:paraId="6567D78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b w:val="0"/>
          <w:bCs w:val="0"/>
          <w:color w:val="000000"/>
          <w:kern w:val="0"/>
          <w:sz w:val="32"/>
          <w:szCs w:val="32"/>
          <w:lang w:val="en-US" w:eastAsia="zh-CN"/>
        </w:rPr>
      </w:pPr>
      <w:r>
        <w:rPr>
          <w:rFonts w:hint="eastAsia" w:ascii="黑体" w:hAnsi="黑体" w:eastAsia="黑体" w:cs="黑体"/>
          <w:b w:val="0"/>
          <w:bCs w:val="0"/>
          <w:color w:val="000000"/>
          <w:kern w:val="0"/>
          <w:sz w:val="32"/>
          <w:szCs w:val="32"/>
          <w:lang w:val="en-US" w:eastAsia="zh-CN"/>
        </w:rPr>
        <w:t>五、食品采购索证验收记录制度</w:t>
      </w:r>
    </w:p>
    <w:p w14:paraId="49C1791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1.食品原料采购人员应持有效的健康证及卫生知识培训合格证。</w:t>
      </w:r>
    </w:p>
    <w:p w14:paraId="12196E4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2.食堂原料采购必须有专人负责，并掌握食品卫生知识和采购常识。</w:t>
      </w:r>
    </w:p>
    <w:p w14:paraId="153909F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3.采购定型包装食品时要索取食品的卫生许可证、食品检验合格证或化验单、营业执照等，采购肉、禽类食品要索取检疫证明。</w:t>
      </w:r>
    </w:p>
    <w:p w14:paraId="048DCBD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4.定型包装食品和食品添加剂必须有产品说明书和产品标准，标出品名、厂名、厂址、生产日期、保质期等内容。</w:t>
      </w:r>
    </w:p>
    <w:p w14:paraId="48E39A6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5.采购非定型包装食品时要检查食品的色、香、味、形等感官性状。</w:t>
      </w:r>
    </w:p>
    <w:p w14:paraId="6782C50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6.采购无法索要生产资质情况的农副产品时，需对方提供联系方式、联系人、联系地址等。</w:t>
      </w:r>
    </w:p>
    <w:p w14:paraId="5B2B8B4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7.每次采购食物均要向货主索要收据，并保存收据至食品进食后无异常。</w:t>
      </w:r>
    </w:p>
    <w:p w14:paraId="4B8BE27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8.不得采购腐烂、变质、超期、标志不全等不符合国家标准的原料和食品。</w:t>
      </w:r>
    </w:p>
    <w:p w14:paraId="3A361D5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9.建立索证档案，索取的证明要分类并按时间顺序存档管理。定期给餐厅管理员查阅。</w:t>
      </w:r>
    </w:p>
    <w:p w14:paraId="0BEF6D8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10.运输包装，容器应符合卫生要求，运输车辆应专用清洁，不得与有毒物、污物混运，以防止交叉污染食品。</w:t>
      </w:r>
    </w:p>
    <w:p w14:paraId="00604C5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b w:val="0"/>
          <w:bCs w:val="0"/>
          <w:color w:val="000000"/>
          <w:kern w:val="0"/>
          <w:sz w:val="32"/>
          <w:szCs w:val="32"/>
          <w:lang w:val="en-US" w:eastAsia="zh-CN"/>
        </w:rPr>
      </w:pPr>
      <w:r>
        <w:rPr>
          <w:rFonts w:hint="eastAsia" w:ascii="黑体" w:hAnsi="黑体" w:eastAsia="黑体" w:cs="黑体"/>
          <w:b w:val="0"/>
          <w:bCs w:val="0"/>
          <w:color w:val="000000"/>
          <w:kern w:val="0"/>
          <w:sz w:val="32"/>
          <w:szCs w:val="32"/>
          <w:lang w:val="en-US" w:eastAsia="zh-CN"/>
        </w:rPr>
        <w:t>六、食品仓储管理制度</w:t>
      </w:r>
    </w:p>
    <w:p w14:paraId="7D29544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1.食堂库房管理人员必须持有效的健康证和卫生知识培训合格证。</w:t>
      </w:r>
    </w:p>
    <w:p w14:paraId="49FD0B1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2.食堂库房必须专人负责，为保证食品安全，库房限时上锁，除管理员外任何人都不得擅自入库。</w:t>
      </w:r>
    </w:p>
    <w:p w14:paraId="7C89DA1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3.严格执行出入库制度，库房要由专职管理人员负责库房物资的验收、出入库、储存、保管等日常工作，并做好记录。严禁三无食品及腐烂变质的食品、原料等入库存放。</w:t>
      </w:r>
    </w:p>
    <w:p w14:paraId="5565257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4.库房内设置食品架，原料分类摆设，食品原料等应离地35cm，离墙45cm，离棚65cm放置。</w:t>
      </w:r>
    </w:p>
    <w:p w14:paraId="78D4A11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5.库房管理人员每周对库房内的物资进行检查，发现霉变、破损、过期等物资要立即进行处理。</w:t>
      </w:r>
    </w:p>
    <w:p w14:paraId="4AF4D82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6.严格控制库房内的温度，随时对库房内的温度进行检查，保证通风良好，防止因温度过高或受潮而引起库存物质过早霉变。</w:t>
      </w:r>
    </w:p>
    <w:p w14:paraId="6A3A3FE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7.设置的防尘、防蝇、防鼠等设施安全有效。</w:t>
      </w:r>
    </w:p>
    <w:p w14:paraId="6F9076B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8.库房内严禁存放任何有毒有害、易燃易爆、易污染的物品及原材料，禁止在库房内抽烟，酗酒及从事与库房贮藏无关的活动。</w:t>
      </w:r>
    </w:p>
    <w:p w14:paraId="4AD8585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9.库房管理工作未按上述规定操作，造成纰漏，将追究库房管理员、负责人责任。</w:t>
      </w:r>
    </w:p>
    <w:p w14:paraId="0A14BC3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b w:val="0"/>
          <w:bCs w:val="0"/>
          <w:color w:val="000000"/>
          <w:kern w:val="0"/>
          <w:sz w:val="32"/>
          <w:szCs w:val="32"/>
          <w:lang w:val="en-US" w:eastAsia="zh-CN"/>
        </w:rPr>
      </w:pPr>
      <w:r>
        <w:rPr>
          <w:rFonts w:hint="eastAsia" w:ascii="黑体" w:hAnsi="黑体" w:eastAsia="黑体" w:cs="黑体"/>
          <w:b w:val="0"/>
          <w:bCs w:val="0"/>
          <w:color w:val="000000"/>
          <w:kern w:val="0"/>
          <w:sz w:val="32"/>
          <w:szCs w:val="32"/>
          <w:lang w:val="en-US" w:eastAsia="zh-CN"/>
        </w:rPr>
        <w:t>七、食品添加剂使用管理制度</w:t>
      </w:r>
    </w:p>
    <w:p w14:paraId="42A26DE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1. 食品添加剂的采购应严格遵循国家相关法规和标准，确保从具备合法资质、证件齐全的经营者处购买。</w:t>
      </w:r>
    </w:p>
    <w:p w14:paraId="6C5EBC1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2. 采购食品添加剂时，应索取并查验供货者的生产经营许可证、产品检验合格证明等文件，确保所购食品添加剂符合安全标准。</w:t>
      </w:r>
    </w:p>
    <w:p w14:paraId="09CA46B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3. 对于进口食品添加剂，还应索取口岸食品卫生监督机构出具的卫生证明，确保进口食品添加剂的安全性和合规性。</w:t>
      </w:r>
    </w:p>
    <w:p w14:paraId="11CC38D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lang w:eastAsia="zh-CN"/>
        </w:rPr>
        <w:t>. 食品添加剂应设立专用橱柜进行存放，并标示“食品添加剂”字样，避免与其他物品混放。</w:t>
      </w:r>
    </w:p>
    <w:p w14:paraId="57052A4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lang w:eastAsia="zh-CN"/>
        </w:rPr>
        <w:t xml:space="preserve"> 食品添加剂应妥善保管，防止受潮、污染和变质。同时，应建立严格的入库和出库记录制度，确保食品添加剂的使用情况可追溯。</w:t>
      </w:r>
    </w:p>
    <w:p w14:paraId="6132B08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lang w:eastAsia="zh-CN"/>
        </w:rPr>
        <w:t>使用食品添加剂时，必须遵循《食品添加剂使用卫生标准》或卫生部公告名单规定的品种、使用范围和使用量，不得随意扩大使用范围或增加使用量。</w:t>
      </w:r>
    </w:p>
    <w:p w14:paraId="3DEA45A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lang w:eastAsia="zh-CN"/>
        </w:rPr>
        <w:t>. 食品添加剂的使用应以提高食品质量和安全性为目的，不得为掩盖食品的缺陷或掺假、伪造而使用。</w:t>
      </w:r>
    </w:p>
    <w:p w14:paraId="2C48961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lang w:eastAsia="zh-CN"/>
        </w:rPr>
        <w:t>. 使用食品添加剂前，应认真填写食品添加剂使用记录，详细记录食品添加剂的名称、使用量、使用目的等信息，确保食品添加剂的使用情况可追溯。</w:t>
      </w:r>
    </w:p>
    <w:p w14:paraId="0045EAED">
      <w:pPr>
        <w:keepNext w:val="0"/>
        <w:keepLines w:val="0"/>
        <w:pageBreakBefore w:val="0"/>
        <w:widowControl/>
        <w:kinsoku/>
        <w:wordWrap/>
        <w:overflowPunct/>
        <w:topLinePunct w:val="0"/>
        <w:autoSpaceDE/>
        <w:autoSpaceDN/>
        <w:bidi w:val="0"/>
        <w:adjustRightInd/>
        <w:snapToGrid/>
        <w:spacing w:line="560" w:lineRule="exact"/>
        <w:ind w:firstLine="480"/>
        <w:textAlignment w:val="auto"/>
        <w:rPr>
          <w:rFonts w:hint="eastAsia" w:ascii="黑体" w:hAnsi="黑体" w:eastAsia="黑体" w:cs="黑体"/>
          <w:b w:val="0"/>
          <w:bCs w:val="0"/>
          <w:color w:val="000000"/>
          <w:kern w:val="0"/>
          <w:sz w:val="32"/>
          <w:szCs w:val="32"/>
          <w:lang w:val="en-US" w:eastAsia="zh-CN"/>
        </w:rPr>
      </w:pPr>
      <w:r>
        <w:rPr>
          <w:rFonts w:hint="eastAsia" w:ascii="黑体" w:hAnsi="黑体" w:eastAsia="黑体" w:cs="黑体"/>
          <w:b w:val="0"/>
          <w:bCs w:val="0"/>
          <w:color w:val="000000"/>
          <w:kern w:val="0"/>
          <w:sz w:val="32"/>
          <w:szCs w:val="32"/>
          <w:lang w:val="en-US" w:eastAsia="zh-CN"/>
        </w:rPr>
        <w:t>八、粗加工管理制度</w:t>
      </w:r>
    </w:p>
    <w:p w14:paraId="06C6758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1.食堂粗加工人员必须持有效的健康证和卫生知识培训合格证上岗。</w:t>
      </w:r>
    </w:p>
    <w:p w14:paraId="51E7EEB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2.加工前认真验收原材料是否符合卫生质量要求，严禁加工不合格原料。</w:t>
      </w:r>
    </w:p>
    <w:p w14:paraId="1B91EC3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3.待加工原料进行清洗后，分类存放，按存放时间进行前后加工，防止交叉污染。</w:t>
      </w:r>
    </w:p>
    <w:p w14:paraId="3064E3F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4.按用途进行原料加工，加工后严禁落地存放，冷冻食品应解冻后进行粗加工，加工时避免损伤鲜活水产品肉质。</w:t>
      </w:r>
    </w:p>
    <w:p w14:paraId="51BE333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5.肉类产品加工应除尽污秽杂质，用专用清洗池清洗，用专用菜板、专用刀进行切割，装入专用容器备用。</w:t>
      </w:r>
    </w:p>
    <w:p w14:paraId="0F77776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lang w:eastAsia="zh-CN"/>
        </w:rPr>
        <w:t>叶菜类摘除不可食部分，用洗菜池清洗干净后，用专用案板、专用刀具，根据食谱要求切割装入专用容器备用。</w:t>
      </w:r>
    </w:p>
    <w:p w14:paraId="79A6091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7.根茎类：在洗菜池中清洗干净外皮，需去皮处理的，去皮后再次清洗，然后用专用菜板、专用刀具，根据食谱要求切割装入专用容器备用。</w:t>
      </w:r>
    </w:p>
    <w:p w14:paraId="5C2EB51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8.配备有盖的污物桶，泔水桶，每日工作后垃圾日产日清，每次餐后垃圾及时处理，污物桶、泔水桶每次清洗并存放点随时保持干净整洁，定期进行消毒杀菌。</w:t>
      </w:r>
    </w:p>
    <w:p w14:paraId="3B630AB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9.负责人随时监督检查各岗位工作人员操作情况。</w:t>
      </w:r>
    </w:p>
    <w:p w14:paraId="7FB08668">
      <w:pPr>
        <w:keepNext w:val="0"/>
        <w:keepLines w:val="0"/>
        <w:pageBreakBefore w:val="0"/>
        <w:widowControl/>
        <w:kinsoku/>
        <w:wordWrap/>
        <w:overflowPunct/>
        <w:topLinePunct w:val="0"/>
        <w:autoSpaceDE/>
        <w:autoSpaceDN/>
        <w:bidi w:val="0"/>
        <w:adjustRightInd/>
        <w:snapToGrid/>
        <w:spacing w:line="560" w:lineRule="exact"/>
        <w:ind w:firstLine="480"/>
        <w:textAlignment w:val="auto"/>
        <w:rPr>
          <w:rFonts w:hint="eastAsia" w:ascii="黑体" w:hAnsi="黑体" w:eastAsia="黑体" w:cs="黑体"/>
          <w:b w:val="0"/>
          <w:bCs w:val="0"/>
          <w:color w:val="000000"/>
          <w:kern w:val="0"/>
          <w:sz w:val="32"/>
          <w:szCs w:val="32"/>
          <w:lang w:val="en-US" w:eastAsia="zh-CN"/>
        </w:rPr>
      </w:pPr>
      <w:r>
        <w:rPr>
          <w:rFonts w:hint="eastAsia" w:ascii="黑体" w:hAnsi="黑体" w:eastAsia="黑体" w:cs="黑体"/>
          <w:b w:val="0"/>
          <w:bCs w:val="0"/>
          <w:color w:val="000000"/>
          <w:kern w:val="0"/>
          <w:sz w:val="32"/>
          <w:szCs w:val="32"/>
          <w:lang w:val="en-US" w:eastAsia="zh-CN"/>
        </w:rPr>
        <w:t>九、烹调加工管理制度</w:t>
      </w:r>
    </w:p>
    <w:p w14:paraId="1D73309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1.食堂加工间必须保持整洁干净。</w:t>
      </w:r>
    </w:p>
    <w:p w14:paraId="605BAE2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2.墙壁应有1.5米以上的瓷砖或其他防水、防潮、可清洗的材料制成的墙裙；地面应防水、防滑、具有一定坡度。</w:t>
      </w:r>
    </w:p>
    <w:p w14:paraId="1F1072D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3.烹调加工人员必须携带健康证和卫生知识培训合格证。</w:t>
      </w:r>
    </w:p>
    <w:p w14:paraId="366AD13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4.烹调加工人员必须穿戴清洁的工作衣帽，并把头发置于帽内。勤洗头、洗澡，不得留长指甲、涂指甲油、戴戒指加工食品，工作时间不得吸烟。个人物品不得带入烹调间。</w:t>
      </w:r>
    </w:p>
    <w:p w14:paraId="231A312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5.烹制前，必须对烹制材料进行检查，不得加工出售感官异常或腐败变质等可能影响学生健康的食品。</w:t>
      </w:r>
    </w:p>
    <w:p w14:paraId="4D084DC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6.熟制大块食品，中心温度不低于100度，食品烹调后至出售一般不超过2小时。剩余食品必须冷藏，且冷藏不超过24小时，在确认未变质情况下，经高温彻底加热后方可出售。</w:t>
      </w:r>
    </w:p>
    <w:p w14:paraId="7649A59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7.加工后的熟食品应当与半成品、原料分开存放。食品不得接触有毒物、不洁物。</w:t>
      </w:r>
    </w:p>
    <w:p w14:paraId="55D2C16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8.所有待使用的容器、用具必须洗净消毒，放在指定的台案上，不得放置在地面。</w:t>
      </w:r>
    </w:p>
    <w:p w14:paraId="39016F4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9.用于原料、半成品、成品的刀、案板、盆、框、抹布等，做到分开使用，定位存放，及时洗净消毒。工作结束后，及时清理台面、地面，调料瓶加盖放置。</w:t>
      </w:r>
    </w:p>
    <w:p w14:paraId="0E78F2D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10.有三防设施，废弃物弃置于污物桶内，污物桶加盖。</w:t>
      </w:r>
    </w:p>
    <w:p w14:paraId="47D98CE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11.工作人员下班时，应检查各功能区域的卫生状况，负责人定期检查各岗位人员操作情况。</w:t>
      </w:r>
    </w:p>
    <w:p w14:paraId="38D0A62F">
      <w:pPr>
        <w:keepNext w:val="0"/>
        <w:keepLines w:val="0"/>
        <w:pageBreakBefore w:val="0"/>
        <w:widowControl/>
        <w:kinsoku/>
        <w:wordWrap/>
        <w:overflowPunct/>
        <w:topLinePunct w:val="0"/>
        <w:autoSpaceDE/>
        <w:autoSpaceDN/>
        <w:bidi w:val="0"/>
        <w:adjustRightInd/>
        <w:snapToGrid/>
        <w:spacing w:line="560" w:lineRule="exact"/>
        <w:ind w:firstLine="480"/>
        <w:textAlignment w:val="auto"/>
        <w:rPr>
          <w:rFonts w:hint="default" w:ascii="黑体" w:hAnsi="黑体" w:eastAsia="黑体" w:cs="黑体"/>
          <w:b w:val="0"/>
          <w:bCs w:val="0"/>
          <w:color w:val="000000"/>
          <w:kern w:val="0"/>
          <w:sz w:val="32"/>
          <w:szCs w:val="32"/>
          <w:lang w:val="en-US" w:eastAsia="zh-CN"/>
        </w:rPr>
      </w:pPr>
      <w:r>
        <w:rPr>
          <w:rFonts w:hint="eastAsia" w:ascii="黑体" w:hAnsi="黑体" w:eastAsia="黑体" w:cs="黑体"/>
          <w:b w:val="0"/>
          <w:bCs w:val="0"/>
          <w:color w:val="000000"/>
          <w:kern w:val="0"/>
          <w:sz w:val="32"/>
          <w:szCs w:val="32"/>
          <w:lang w:val="en-US" w:eastAsia="zh-CN"/>
        </w:rPr>
        <w:t>十、餐饮具清洗消毒保洁管理制度</w:t>
      </w:r>
    </w:p>
    <w:p w14:paraId="51738DB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1.清洗餐饮具、用具时，应做好分类，并在水池的明显位置注明标识。</w:t>
      </w:r>
    </w:p>
    <w:p w14:paraId="3DF30E8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2.餐饮具、用具在清洗消毒过程中须做到一刮、二洗、三过清、四消毒、五保洁，不得减少任何环节。</w:t>
      </w:r>
    </w:p>
    <w:p w14:paraId="030E974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3.洗净后，凡能用蒸煮消毒的餐具、用具、器皿等。均应进行消毒，煮沸、蒸汽消毒保持10分钟以上，红外线消毒控制温度在120度保持10分钟以上。凡不能用蒸煮的塑料餐具，用具，器皿等，须用药物（一般为含氯消毒剂）浸泡进行消毒，消毒剂用量及作用时间按说明书。</w:t>
      </w:r>
    </w:p>
    <w:p w14:paraId="789F441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4.消毒后的餐具置于餐具保洁柜中待用，已消毒的餐具要自然晾干或烘干，不能用毛巾、餐巾擦干，避免二次污染。</w:t>
      </w:r>
    </w:p>
    <w:p w14:paraId="34AABE6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5.对每餐未使用的餐具，必须收回洗碗间用清水冲洗，进行消毒后，方可再用。</w:t>
      </w:r>
    </w:p>
    <w:p w14:paraId="7BB4350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6.未经清洗消毒的餐饮具、用具不得使用。</w:t>
      </w:r>
    </w:p>
    <w:p w14:paraId="30B0DC7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7.洗碗间及消毒间必须保持整洁、卫生、明亮，不得存放有毒物品、有毒气体、污物、易爆物品等。</w:t>
      </w:r>
    </w:p>
    <w:p w14:paraId="260B18AB">
      <w:pPr>
        <w:keepNext w:val="0"/>
        <w:keepLines w:val="0"/>
        <w:pageBreakBefore w:val="0"/>
        <w:widowControl/>
        <w:kinsoku/>
        <w:wordWrap/>
        <w:overflowPunct/>
        <w:topLinePunct w:val="0"/>
        <w:autoSpaceDE/>
        <w:autoSpaceDN/>
        <w:bidi w:val="0"/>
        <w:adjustRightInd/>
        <w:snapToGrid/>
        <w:spacing w:line="560" w:lineRule="exact"/>
        <w:ind w:firstLine="480"/>
        <w:textAlignment w:val="auto"/>
        <w:rPr>
          <w:rFonts w:hint="eastAsia" w:ascii="黑体" w:hAnsi="黑体" w:eastAsia="黑体" w:cs="黑体"/>
          <w:b w:val="0"/>
          <w:bCs w:val="0"/>
          <w:color w:val="000000"/>
          <w:kern w:val="0"/>
          <w:sz w:val="32"/>
          <w:szCs w:val="32"/>
          <w:lang w:val="en-US" w:eastAsia="zh-CN"/>
        </w:rPr>
      </w:pPr>
      <w:r>
        <w:rPr>
          <w:rFonts w:hint="eastAsia" w:ascii="黑体" w:hAnsi="黑体" w:eastAsia="黑体" w:cs="黑体"/>
          <w:b w:val="0"/>
          <w:bCs w:val="0"/>
          <w:color w:val="000000"/>
          <w:kern w:val="0"/>
          <w:sz w:val="32"/>
          <w:szCs w:val="32"/>
          <w:lang w:val="en-US" w:eastAsia="zh-CN"/>
        </w:rPr>
        <w:t>十一、餐厅卫生管理制度</w:t>
      </w:r>
    </w:p>
    <w:p w14:paraId="63BED0B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1.建立健全餐厅卫生清扫制度，坚持三定一保（定人、定物、定时间、保质量）。划清分工包干责任区，食堂外3米以内列为清洁区，保持干净并定期检查。</w:t>
      </w:r>
    </w:p>
    <w:p w14:paraId="0D49165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2.餐厅设防尘、防蝇、防鼠设施，消灭四害。</w:t>
      </w:r>
    </w:p>
    <w:p w14:paraId="1CED5BD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3.餐厅地面保持清洁（无水、无油迹、无尘土、无垃圾）。</w:t>
      </w:r>
    </w:p>
    <w:p w14:paraId="1B9D901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4.餐厅桌面、椅子、传递食品的窗口应无油渍、灰尘等现象。</w:t>
      </w:r>
    </w:p>
    <w:p w14:paraId="433A8DF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5.餐厅工作人员必须穿戴清洁的工作衣帽，并把头发置于帽内。</w:t>
      </w:r>
    </w:p>
    <w:p w14:paraId="7F3601C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6.餐厅工作人员要经常保持仪表整洁、勤洗头、洗澡，不得留长指甲、涂指甲油，工作时间不得吸烟。</w:t>
      </w:r>
    </w:p>
    <w:p w14:paraId="4DFEA78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7.餐厅工作人员工作前后用肥皂及流动的清水洗手，外出办事须脱下工作服、工作帽。</w:t>
      </w:r>
    </w:p>
    <w:p w14:paraId="30512AE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8.餐厅工作人员必须</w:t>
      </w:r>
      <w:r>
        <w:rPr>
          <w:rFonts w:hint="eastAsia" w:ascii="仿宋_GB2312" w:hAnsi="仿宋_GB2312" w:eastAsia="仿宋_GB2312" w:cs="仿宋_GB2312"/>
          <w:sz w:val="32"/>
          <w:szCs w:val="32"/>
          <w:lang w:val="en-US" w:eastAsia="zh-CN"/>
        </w:rPr>
        <w:t>具备</w:t>
      </w:r>
      <w:r>
        <w:rPr>
          <w:rFonts w:hint="eastAsia" w:ascii="仿宋_GB2312" w:hAnsi="仿宋_GB2312" w:eastAsia="仿宋_GB2312" w:cs="仿宋_GB2312"/>
          <w:sz w:val="32"/>
          <w:szCs w:val="32"/>
          <w:lang w:eastAsia="zh-CN"/>
        </w:rPr>
        <w:t>有效的健康证及卫生知识培训合格证上岗。</w:t>
      </w:r>
    </w:p>
    <w:p w14:paraId="4193C90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9.餐厅工作人员患“五病”及出现咳嗽、腹泻、发热、呕吐等有碍食品卫生的病症时，应及时调离岗位。</w:t>
      </w:r>
    </w:p>
    <w:p w14:paraId="1CF309E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10.餐厅卫生人员必须做到污物桶、泔水桶垃圾日产日清，每次餐后垃圾及时处理倒掉，剩饭菜、残羹不能堆积存放，污物桶、泔水桶每日清洗并做到存放点随时保持干净整洁，定期进行消毒杀菌。</w:t>
      </w:r>
    </w:p>
    <w:p w14:paraId="6C7B24DE">
      <w:pPr>
        <w:keepNext w:val="0"/>
        <w:keepLines w:val="0"/>
        <w:pageBreakBefore w:val="0"/>
        <w:widowControl/>
        <w:kinsoku/>
        <w:wordWrap/>
        <w:overflowPunct/>
        <w:topLinePunct w:val="0"/>
        <w:autoSpaceDE/>
        <w:autoSpaceDN/>
        <w:bidi w:val="0"/>
        <w:adjustRightInd/>
        <w:snapToGrid/>
        <w:spacing w:line="560" w:lineRule="exact"/>
        <w:ind w:firstLine="480"/>
        <w:textAlignment w:val="auto"/>
        <w:rPr>
          <w:rFonts w:hint="eastAsia" w:ascii="黑体" w:hAnsi="黑体" w:eastAsia="黑体" w:cs="黑体"/>
          <w:b w:val="0"/>
          <w:bCs w:val="0"/>
          <w:color w:val="000000"/>
          <w:kern w:val="0"/>
          <w:sz w:val="32"/>
          <w:szCs w:val="32"/>
          <w:lang w:val="en-US" w:eastAsia="zh-CN"/>
        </w:rPr>
      </w:pPr>
      <w:r>
        <w:rPr>
          <w:rFonts w:hint="eastAsia" w:ascii="黑体" w:hAnsi="黑体" w:eastAsia="黑体" w:cs="黑体"/>
          <w:b w:val="0"/>
          <w:bCs w:val="0"/>
          <w:color w:val="000000"/>
          <w:kern w:val="0"/>
          <w:sz w:val="32"/>
          <w:szCs w:val="32"/>
          <w:lang w:val="en-US" w:eastAsia="zh-CN"/>
        </w:rPr>
        <w:t>十二、食品留样制度</w:t>
      </w:r>
    </w:p>
    <w:p w14:paraId="6B3C81D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1.学校应配备食品留样专用冰箱，严禁存放与留样食品无关的其他食品，冰箱温度控制在0-6之间。</w:t>
      </w:r>
    </w:p>
    <w:p w14:paraId="28A9AE8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2.食物留样每一品种不少于50g。</w:t>
      </w:r>
    </w:p>
    <w:p w14:paraId="4DAA7F5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3.食品留样后立即加盖密封（或用保鲜膜密封），在留样容器外贴上标签，标明：菜名、餐次、日期、留样人等。</w:t>
      </w:r>
    </w:p>
    <w:p w14:paraId="4DFEE8E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4.留样食品必须保留48小时以上，时间到后方可倒掉。</w:t>
      </w:r>
    </w:p>
    <w:p w14:paraId="3FBB01A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5.用于留样的容器必须满足消毒、无菌要求。</w:t>
      </w:r>
    </w:p>
    <w:p w14:paraId="0C32B52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6.建立食品留样台账，做好每餐留样登记，备查。</w:t>
      </w:r>
    </w:p>
    <w:p w14:paraId="4B647ABC">
      <w:pPr>
        <w:keepNext w:val="0"/>
        <w:keepLines w:val="0"/>
        <w:pageBreakBefore w:val="0"/>
        <w:widowControl/>
        <w:kinsoku/>
        <w:wordWrap/>
        <w:overflowPunct/>
        <w:topLinePunct w:val="0"/>
        <w:autoSpaceDE/>
        <w:autoSpaceDN/>
        <w:bidi w:val="0"/>
        <w:adjustRightInd/>
        <w:snapToGrid/>
        <w:spacing w:line="560" w:lineRule="exact"/>
        <w:ind w:firstLine="480"/>
        <w:textAlignment w:val="auto"/>
        <w:rPr>
          <w:rFonts w:hint="eastAsia" w:ascii="黑体" w:hAnsi="黑体" w:eastAsia="黑体" w:cs="黑体"/>
          <w:b w:val="0"/>
          <w:bCs w:val="0"/>
          <w:color w:val="000000"/>
          <w:kern w:val="0"/>
          <w:sz w:val="32"/>
          <w:szCs w:val="32"/>
          <w:lang w:val="en-US" w:eastAsia="zh-CN"/>
        </w:rPr>
      </w:pPr>
      <w:r>
        <w:rPr>
          <w:rFonts w:hint="eastAsia" w:ascii="黑体" w:hAnsi="黑体" w:eastAsia="黑体" w:cs="黑体"/>
          <w:b w:val="0"/>
          <w:bCs w:val="0"/>
          <w:color w:val="000000"/>
          <w:kern w:val="0"/>
          <w:sz w:val="32"/>
          <w:szCs w:val="32"/>
          <w:lang w:val="en-US" w:eastAsia="zh-CN"/>
        </w:rPr>
        <w:t>十三、预防食品中毒制度</w:t>
      </w:r>
    </w:p>
    <w:p w14:paraId="3DCAB7E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1. 定期开展食品安全培训，提高食品加工、销售人员的食品安全意识和技能。</w:t>
      </w:r>
    </w:p>
    <w:p w14:paraId="0349E11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2. 通过各种渠道宣传食品安全知识，增强公众的食品安全意识和自我保护能力。</w:t>
      </w:r>
    </w:p>
    <w:p w14:paraId="357AC4B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lang w:eastAsia="zh-CN"/>
        </w:rPr>
        <w:t>. 建立食品中毒事件应急处理机制，制定应急预案，明确各部门职责和协调机制。</w:t>
      </w:r>
    </w:p>
    <w:p w14:paraId="70AB628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lang w:eastAsia="zh-CN"/>
        </w:rPr>
        <w:t>. 一旦发生食品中毒事件，应立即启动应急预案，组织调查处理，及时控制事态发展。</w:t>
      </w:r>
    </w:p>
    <w:p w14:paraId="30D32829">
      <w:pPr>
        <w:keepNext w:val="0"/>
        <w:keepLines w:val="0"/>
        <w:pageBreakBefore w:val="0"/>
        <w:widowControl/>
        <w:kinsoku/>
        <w:wordWrap/>
        <w:overflowPunct/>
        <w:topLinePunct w:val="0"/>
        <w:autoSpaceDE/>
        <w:autoSpaceDN/>
        <w:bidi w:val="0"/>
        <w:adjustRightInd/>
        <w:snapToGrid/>
        <w:spacing w:line="560" w:lineRule="exact"/>
        <w:ind w:firstLine="480"/>
        <w:textAlignment w:val="auto"/>
        <w:rPr>
          <w:rFonts w:hint="default" w:ascii="黑体" w:hAnsi="黑体" w:eastAsia="黑体" w:cs="黑体"/>
          <w:b w:val="0"/>
          <w:bCs w:val="0"/>
          <w:color w:val="000000"/>
          <w:kern w:val="0"/>
          <w:sz w:val="32"/>
          <w:szCs w:val="32"/>
          <w:lang w:val="en-US" w:eastAsia="zh-CN"/>
        </w:rPr>
      </w:pPr>
      <w:r>
        <w:rPr>
          <w:rFonts w:hint="eastAsia" w:ascii="黑体" w:hAnsi="黑体" w:eastAsia="黑体" w:cs="黑体"/>
          <w:b w:val="0"/>
          <w:bCs w:val="0"/>
          <w:color w:val="000000"/>
          <w:kern w:val="0"/>
          <w:sz w:val="32"/>
          <w:szCs w:val="32"/>
          <w:lang w:val="en-US" w:eastAsia="zh-CN"/>
        </w:rPr>
        <w:t>十四、餐厨废弃物处置管理制度</w:t>
      </w:r>
    </w:p>
    <w:p w14:paraId="689BAEC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lang w:eastAsia="zh-CN"/>
        </w:rPr>
        <w:t>餐厨废弃物必须实行分类管理，不同种类的废弃物应分别处理。例如，食品原料粗加工产生的垃圾（如菜叶、根须、动物内脏、毛皮等）应作为生活垃圾处理，而泔水类垃圾（如食物残渣、饭、菜、汤水等）则应按规定倒入专用餐厨垃圾收集设施进行统一处理。</w:t>
      </w:r>
    </w:p>
    <w:p w14:paraId="3CB4041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lang w:eastAsia="zh-CN"/>
        </w:rPr>
        <w:t>餐厨废弃物应做到日产日清，防止不良气味或污水的溢出，避免污染食品、食品接触面、水源及地面。此外，清除后的容器应及时清洗，必要时进行消毒。</w:t>
      </w:r>
    </w:p>
    <w:p w14:paraId="125F580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lang w:eastAsia="zh-CN"/>
        </w:rPr>
        <w:t>禁止乱堆餐厨废弃物，更不得将其直接排入公共水域、公共厕所或其他生活垃圾收集设施。废弃食用油脂应存放在标有“废弃油脂专用”字样的专用密闭容器内，并由专人负责管理。废弃食用油脂只能销售给经相关部门许可或备案的废弃油脂加工单位和从事废弃物收购的单位，不得销售给其他单位和个人。</w:t>
      </w:r>
    </w:p>
    <w:p w14:paraId="1EE6C64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lang w:eastAsia="zh-CN"/>
        </w:rPr>
        <w:t>餐饮服务单位必须与餐厨废弃物收运人或单位签订餐厨废弃物收运处置协议，明确双方的权利和义务，确保餐厨废弃物的合规处理。</w:t>
      </w:r>
    </w:p>
    <w:p w14:paraId="7FC1B85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lang w:eastAsia="zh-CN"/>
        </w:rPr>
        <w:t>餐厨废弃物产生、收运、处置单位应建立台账，详细记录餐厨废弃物的种类、数量、去向、用途等情况，并定期向主管部门报告。台账的设立有助于跟踪餐厨废弃物的处理过程，确保其得到妥善处理。</w:t>
      </w:r>
    </w:p>
    <w:p w14:paraId="2395D41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lang w:eastAsia="zh-CN"/>
        </w:rPr>
        <w:t>主管部门应加强对餐饮业餐厨废弃物处置工作的检查监督，对违规处理餐厨废弃物的行为进行及时纠正，并给予相应处理。同时，鼓励餐饮服务单位建立内部自查机制，定期对餐厨废弃物处置情况进行自查自纠。</w:t>
      </w:r>
    </w:p>
    <w:p w14:paraId="22EF6E5E">
      <w:pPr>
        <w:keepNext w:val="0"/>
        <w:keepLines w:val="0"/>
        <w:pageBreakBefore w:val="0"/>
        <w:widowControl/>
        <w:kinsoku/>
        <w:wordWrap/>
        <w:overflowPunct/>
        <w:topLinePunct w:val="0"/>
        <w:autoSpaceDE/>
        <w:autoSpaceDN/>
        <w:bidi w:val="0"/>
        <w:adjustRightInd/>
        <w:snapToGrid/>
        <w:spacing w:line="560" w:lineRule="exact"/>
        <w:ind w:firstLine="480"/>
        <w:textAlignment w:val="auto"/>
        <w:rPr>
          <w:rFonts w:hint="default" w:ascii="黑体" w:hAnsi="黑体" w:eastAsia="黑体" w:cs="黑体"/>
          <w:b w:val="0"/>
          <w:bCs w:val="0"/>
          <w:color w:val="000000"/>
          <w:kern w:val="0"/>
          <w:sz w:val="32"/>
          <w:szCs w:val="32"/>
          <w:lang w:val="en-US" w:eastAsia="zh-CN"/>
        </w:rPr>
      </w:pPr>
      <w:r>
        <w:rPr>
          <w:rFonts w:hint="eastAsia" w:ascii="黑体" w:hAnsi="黑体" w:eastAsia="黑体" w:cs="黑体"/>
          <w:b w:val="0"/>
          <w:bCs w:val="0"/>
          <w:color w:val="000000"/>
          <w:kern w:val="0"/>
          <w:sz w:val="32"/>
          <w:szCs w:val="32"/>
          <w:lang w:val="en-US" w:eastAsia="zh-CN"/>
        </w:rPr>
        <w:t>十五、食品安全事件处置报告制度</w:t>
      </w:r>
    </w:p>
    <w:p w14:paraId="53F1240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1. 明确规定食品生产、经营单位在何种情况下应进行事故报告，例如产品质量问题、食品中毒事件等。同时，也规定了报告的责任主体，包括食品生产者、经营者、消费者以及监管部门等。</w:t>
      </w:r>
    </w:p>
    <w:p w14:paraId="6BECECF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2. 详细描述了报告事故的时间节点、报告方式和相关部门。这包括发生事故后应立即向哪些部门报告，以及报告的具体内容和格式等。</w:t>
      </w:r>
    </w:p>
    <w:p w14:paraId="23C3DE6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3. 要求食品生产、经营单位在发生事故后采取必要的应急措施，包括停止生产、销售相关食品，召回已售出的食品，配合调查等。同时，也规定了监管部门在接到报告后的处置流程和措施。</w:t>
      </w:r>
    </w:p>
    <w:p w14:paraId="362E6C2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4. 政府部门将对食品安全事故进行持续的监测和评估，以了解事故的发展趋势和影响范围，并据此制定和调整应对措施。此外，还会及时发布相关信息，保障公众的知情权。</w:t>
      </w:r>
    </w:p>
    <w:p w14:paraId="6E751A4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5. 对于未按规定进行报告或处理食品安全事故的单位和个人，将依法追究其责任。这包括行政处罚、民事赔偿以及可能的刑事责任等。</w:t>
      </w:r>
    </w:p>
    <w:p w14:paraId="4A4DEC78">
      <w:pPr>
        <w:keepNext w:val="0"/>
        <w:keepLines w:val="0"/>
        <w:pageBreakBefore w:val="0"/>
        <w:widowControl/>
        <w:kinsoku/>
        <w:wordWrap/>
        <w:overflowPunct/>
        <w:topLinePunct w:val="0"/>
        <w:autoSpaceDE/>
        <w:autoSpaceDN/>
        <w:bidi w:val="0"/>
        <w:adjustRightInd/>
        <w:snapToGrid/>
        <w:spacing w:line="560" w:lineRule="exact"/>
        <w:ind w:firstLine="480"/>
        <w:textAlignment w:val="auto"/>
        <w:rPr>
          <w:rFonts w:hint="default" w:ascii="黑体" w:hAnsi="黑体" w:eastAsia="黑体" w:cs="黑体"/>
          <w:b w:val="0"/>
          <w:bCs w:val="0"/>
          <w:color w:val="000000"/>
          <w:kern w:val="0"/>
          <w:sz w:val="32"/>
          <w:szCs w:val="32"/>
          <w:lang w:val="en-US" w:eastAsia="zh-CN"/>
        </w:rPr>
      </w:pPr>
      <w:r>
        <w:rPr>
          <w:rFonts w:hint="eastAsia" w:ascii="黑体" w:hAnsi="黑体" w:eastAsia="黑体" w:cs="黑体"/>
          <w:b w:val="0"/>
          <w:bCs w:val="0"/>
          <w:color w:val="000000"/>
          <w:kern w:val="0"/>
          <w:sz w:val="32"/>
          <w:szCs w:val="32"/>
          <w:lang w:val="en-US" w:eastAsia="zh-CN"/>
        </w:rPr>
        <w:t>十六、餐饮服务食品安全管理员制度</w:t>
      </w:r>
    </w:p>
    <w:p w14:paraId="0A92542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lang w:eastAsia="zh-CN"/>
        </w:rPr>
        <w:t>负责食堂全面管理工作，承担食堂饭菜质量、卫生工作、物资管理、安全保管、工作人员服务态度等方面的责任，应不折不扣完成学校领导和总务处交办的任务。</w:t>
      </w:r>
    </w:p>
    <w:p w14:paraId="050453B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lang w:eastAsia="zh-CN"/>
        </w:rPr>
        <w:t>工作人员着装上岗，佩戴工作帽，不留长指甲，注意个人卫生。</w:t>
      </w:r>
    </w:p>
    <w:p w14:paraId="3742FD8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lang w:eastAsia="zh-CN"/>
        </w:rPr>
        <w:t>工作人员要确保身体健康，入岗时要携带健康证明。杜绝传染病的传播，确保就餐者的身体健康。</w:t>
      </w:r>
    </w:p>
    <w:p w14:paraId="4F01D85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lang w:eastAsia="zh-CN"/>
        </w:rPr>
        <w:t>在总务处领导下，与有关人员共同确定每周菜谱安排，虚心听取师生意见，精心研究饭菜制作，不断提高饭菜质量，努力做到吃得好，吃得饱。为绝大多数人认可、满意。</w:t>
      </w:r>
    </w:p>
    <w:p w14:paraId="44FA00B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lang w:eastAsia="zh-CN"/>
        </w:rPr>
        <w:t>严把进货渠道，确保蔬菜、肉类新鲜。</w:t>
      </w:r>
    </w:p>
    <w:p w14:paraId="046ABA5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lang w:eastAsia="zh-CN"/>
        </w:rPr>
        <w:t>加强对食堂物品验收、保管等环节的检查和监督。</w:t>
      </w:r>
    </w:p>
    <w:p w14:paraId="1C09BD6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lang w:eastAsia="zh-CN"/>
        </w:rPr>
        <w:t>严把食品质量关，做到生熟食品分开处理，保证食品卫生。</w:t>
      </w:r>
    </w:p>
    <w:p w14:paraId="300D844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lang w:eastAsia="zh-CN"/>
        </w:rPr>
        <w:t>遵守《食品卫生法》，督促食堂人员搞好个人卫生，环境卫生，确保食品、餐具、炊具、餐厅的清洁卫生。严格消毒制度，杜绝食物中毒。</w:t>
      </w:r>
    </w:p>
    <w:p w14:paraId="65BAB7B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lang w:eastAsia="zh-CN"/>
        </w:rPr>
        <w:t>好爱护公物，节约水电。</w:t>
      </w:r>
    </w:p>
    <w:p w14:paraId="41ED45E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10.</w:t>
      </w:r>
      <w:r>
        <w:rPr>
          <w:rFonts w:hint="eastAsia" w:ascii="仿宋_GB2312" w:hAnsi="仿宋_GB2312" w:eastAsia="仿宋_GB2312" w:cs="仿宋_GB2312"/>
          <w:sz w:val="32"/>
          <w:szCs w:val="32"/>
          <w:lang w:eastAsia="zh-CN"/>
        </w:rPr>
        <w:t>工作及时请示汇报，重大决定必须报领导同意，每月至少向领导汇报工作一次，有特殊情况随时汇报。</w:t>
      </w:r>
    </w:p>
    <w:p w14:paraId="11D66EC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11.</w:t>
      </w:r>
      <w:r>
        <w:rPr>
          <w:rFonts w:hint="eastAsia" w:ascii="仿宋_GB2312" w:hAnsi="仿宋_GB2312" w:eastAsia="仿宋_GB2312" w:cs="仿宋_GB2312"/>
          <w:sz w:val="32"/>
          <w:szCs w:val="32"/>
          <w:lang w:eastAsia="zh-CN"/>
        </w:rPr>
        <w:t>接受领导的检查与考核，虚心听取师生意见，改进工作。</w:t>
      </w:r>
    </w:p>
    <w:p w14:paraId="7BCF1EB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12.</w:t>
      </w:r>
      <w:r>
        <w:rPr>
          <w:rFonts w:hint="eastAsia" w:ascii="仿宋_GB2312" w:hAnsi="仿宋_GB2312" w:eastAsia="仿宋_GB2312" w:cs="仿宋_GB2312"/>
          <w:sz w:val="32"/>
          <w:szCs w:val="32"/>
          <w:lang w:eastAsia="zh-CN"/>
        </w:rPr>
        <w:t>食堂工作的任何方面出了问题，应接受必要的处罚。</w:t>
      </w:r>
    </w:p>
    <w:p w14:paraId="4F2AC56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13.</w:t>
      </w:r>
      <w:r>
        <w:rPr>
          <w:rFonts w:hint="eastAsia" w:ascii="仿宋_GB2312" w:hAnsi="仿宋_GB2312" w:eastAsia="仿宋_GB2312" w:cs="仿宋_GB2312"/>
          <w:sz w:val="32"/>
          <w:szCs w:val="32"/>
          <w:lang w:eastAsia="zh-CN"/>
        </w:rPr>
        <w:t>下班前认真检查好水，电，气，关好门窗，做好防火，防盗工作。防止出现人为的安全事故。</w:t>
      </w:r>
    </w:p>
    <w:p w14:paraId="4A6B3204">
      <w:pPr>
        <w:keepNext w:val="0"/>
        <w:keepLines w:val="0"/>
        <w:pageBreakBefore w:val="0"/>
        <w:widowControl/>
        <w:kinsoku/>
        <w:wordWrap/>
        <w:overflowPunct/>
        <w:topLinePunct w:val="0"/>
        <w:autoSpaceDE/>
        <w:autoSpaceDN/>
        <w:bidi w:val="0"/>
        <w:adjustRightInd/>
        <w:snapToGrid/>
        <w:spacing w:line="560" w:lineRule="exact"/>
        <w:ind w:firstLine="480"/>
        <w:textAlignment w:val="auto"/>
        <w:rPr>
          <w:rFonts w:hint="default" w:ascii="黑体" w:hAnsi="黑体" w:eastAsia="黑体" w:cs="黑体"/>
          <w:b w:val="0"/>
          <w:bCs w:val="0"/>
          <w:color w:val="000000"/>
          <w:kern w:val="0"/>
          <w:sz w:val="32"/>
          <w:szCs w:val="32"/>
          <w:lang w:val="en-US" w:eastAsia="zh-CN"/>
        </w:rPr>
      </w:pPr>
      <w:r>
        <w:rPr>
          <w:rFonts w:hint="eastAsia" w:ascii="黑体" w:hAnsi="黑体" w:eastAsia="黑体" w:cs="黑体"/>
          <w:b w:val="0"/>
          <w:bCs w:val="0"/>
          <w:color w:val="000000"/>
          <w:kern w:val="0"/>
          <w:sz w:val="32"/>
          <w:szCs w:val="32"/>
          <w:lang w:val="en-US" w:eastAsia="zh-CN"/>
        </w:rPr>
        <w:t>十七、面食糕点制作管理制度</w:t>
      </w:r>
    </w:p>
    <w:p w14:paraId="5923254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1.面食制作人员必须持有效的健康证和卫生知识培训合格证。</w:t>
      </w:r>
    </w:p>
    <w:p w14:paraId="22EDD06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2.制作前，必须对烹制材料进行检查，不得加工出售感观异常或腐败变质等可能影响学生健康的食品。</w:t>
      </w:r>
    </w:p>
    <w:p w14:paraId="49F7236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3.熟制品应与半成品、原料分开存放，不得接触有毒物、不洁物。</w:t>
      </w:r>
    </w:p>
    <w:p w14:paraId="1840E40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4.面食制作人员必须穿戴清洁的工作衣帽，并把头发置于帽内。操作前必须仔细洗手，勤洗头、洗澡，不得留长指甲、涂指甲油、戴戒指制作食品。</w:t>
      </w:r>
    </w:p>
    <w:p w14:paraId="2D08762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5.工作时间不得吸烟，个人物品不得带入烹调间。</w:t>
      </w:r>
    </w:p>
    <w:p w14:paraId="75914EC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6.加工面食品的机械使用前应检查是否有污物，使用后应及时清洗干净，面板使用后不得有残留物。</w:t>
      </w:r>
    </w:p>
    <w:p w14:paraId="72C3071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7.有三防设施，废弃物弃置于污物桶内，污物桶加盖。</w:t>
      </w:r>
    </w:p>
    <w:p w14:paraId="49BC941D">
      <w:pPr>
        <w:keepNext w:val="0"/>
        <w:keepLines w:val="0"/>
        <w:pageBreakBefore w:val="0"/>
        <w:widowControl/>
        <w:kinsoku/>
        <w:wordWrap/>
        <w:overflowPunct/>
        <w:topLinePunct w:val="0"/>
        <w:autoSpaceDE/>
        <w:autoSpaceDN/>
        <w:bidi w:val="0"/>
        <w:adjustRightInd/>
        <w:snapToGrid/>
        <w:spacing w:line="560" w:lineRule="exact"/>
        <w:ind w:firstLine="480"/>
        <w:textAlignment w:val="auto"/>
        <w:rPr>
          <w:rFonts w:hint="default" w:ascii="黑体" w:hAnsi="黑体" w:eastAsia="黑体" w:cs="黑体"/>
          <w:b w:val="0"/>
          <w:bCs w:val="0"/>
          <w:color w:val="000000"/>
          <w:kern w:val="0"/>
          <w:sz w:val="32"/>
          <w:szCs w:val="32"/>
          <w:lang w:val="en-US" w:eastAsia="zh-CN"/>
        </w:rPr>
      </w:pPr>
      <w:r>
        <w:rPr>
          <w:rFonts w:hint="eastAsia" w:ascii="黑体" w:hAnsi="黑体" w:eastAsia="黑体" w:cs="黑体"/>
          <w:b w:val="0"/>
          <w:bCs w:val="0"/>
          <w:color w:val="000000"/>
          <w:kern w:val="0"/>
          <w:sz w:val="32"/>
          <w:szCs w:val="32"/>
          <w:lang w:val="en-US" w:eastAsia="zh-CN"/>
        </w:rPr>
        <w:t>十八、食品制作专间管理制度</w:t>
      </w:r>
    </w:p>
    <w:p w14:paraId="17A5CEE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1. 专间工作人员必须持有有效的健康证，并经过食品安全培训，了解食品安全知识和操作规程。</w:t>
      </w:r>
    </w:p>
    <w:p w14:paraId="295FE4A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2. 工作人员进入专间前必须穿戴整洁的工作服、帽子、口罩和手套，并严格执行规范操作。</w:t>
      </w:r>
    </w:p>
    <w:p w14:paraId="32B561B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3. 非专间工作人员不得擅自进入专间，确保专间的封闭性和卫生性。</w:t>
      </w:r>
    </w:p>
    <w:p w14:paraId="56E8DDB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lang w:eastAsia="zh-CN"/>
        </w:rPr>
        <w:t>. 专间必须保持清洁卫生，定期进行清洁和消毒，确保无灰尘、无油污、无杂物。</w:t>
      </w:r>
    </w:p>
    <w:p w14:paraId="58D8BF3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lang w:eastAsia="zh-CN"/>
        </w:rPr>
        <w:t>. 地面、墙壁、天花板等应保持平整、无破损、无霉变，易于清洁。</w:t>
      </w:r>
    </w:p>
    <w:p w14:paraId="3A1E7C9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lang w:eastAsia="zh-CN"/>
        </w:rPr>
        <w:t>. 专间内不得放置</w:t>
      </w:r>
      <w:r>
        <w:rPr>
          <w:rFonts w:hint="eastAsia" w:ascii="仿宋_GB2312" w:hAnsi="仿宋_GB2312" w:eastAsia="仿宋_GB2312" w:cs="仿宋_GB2312"/>
          <w:sz w:val="32"/>
          <w:szCs w:val="32"/>
          <w:lang w:val="en-US" w:eastAsia="zh-CN"/>
        </w:rPr>
        <w:t>于与</w:t>
      </w:r>
      <w:r>
        <w:rPr>
          <w:rFonts w:hint="eastAsia" w:ascii="仿宋_GB2312" w:hAnsi="仿宋_GB2312" w:eastAsia="仿宋_GB2312" w:cs="仿宋_GB2312"/>
          <w:sz w:val="32"/>
          <w:szCs w:val="32"/>
          <w:lang w:eastAsia="zh-CN"/>
        </w:rPr>
        <w:t>食品制作无关的物品，确保食品制作环境的整洁。</w:t>
      </w:r>
    </w:p>
    <w:p w14:paraId="6769557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lang w:eastAsia="zh-CN"/>
        </w:rPr>
        <w:t>. 专间内的设备设施应符合食品安全要求，定期进行维护和保养，确保正常运转。</w:t>
      </w:r>
    </w:p>
    <w:p w14:paraId="04C947F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lang w:eastAsia="zh-CN"/>
        </w:rPr>
        <w:t>. 专间内应配备必要的消毒设施，如紫外线灯等，用于对空气和物品进行消毒。</w:t>
      </w:r>
    </w:p>
    <w:p w14:paraId="0E8BE30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lang w:eastAsia="zh-CN"/>
        </w:rPr>
        <w:t>. 专间内应设置独立的排水系统，确保排水畅通，防止污水倒流。</w:t>
      </w:r>
    </w:p>
    <w:p w14:paraId="46E6879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1</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lang w:eastAsia="zh-CN"/>
        </w:rPr>
        <w:t>. 专间内只能进行规定的食品制作活动，不得进行其他与食品制作无关的操作。</w:t>
      </w:r>
    </w:p>
    <w:p w14:paraId="65A4312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11</w:t>
      </w:r>
      <w:r>
        <w:rPr>
          <w:rFonts w:hint="eastAsia" w:ascii="仿宋_GB2312" w:hAnsi="仿宋_GB2312" w:eastAsia="仿宋_GB2312" w:cs="仿宋_GB2312"/>
          <w:sz w:val="32"/>
          <w:szCs w:val="32"/>
          <w:lang w:eastAsia="zh-CN"/>
        </w:rPr>
        <w:t>. 工作人员在制作食品时应遵循操作规程，确保食品的安全和质量。</w:t>
      </w:r>
    </w:p>
    <w:p w14:paraId="1CB24B4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12</w:t>
      </w:r>
      <w:r>
        <w:rPr>
          <w:rFonts w:hint="eastAsia" w:ascii="仿宋_GB2312" w:hAnsi="仿宋_GB2312" w:eastAsia="仿宋_GB2312" w:cs="仿宋_GB2312"/>
          <w:sz w:val="32"/>
          <w:szCs w:val="32"/>
          <w:lang w:eastAsia="zh-CN"/>
        </w:rPr>
        <w:t>. 食品制作过程中应严格控制温度和时间，确保食品的口感和营养。</w:t>
      </w:r>
    </w:p>
    <w:p w14:paraId="3BFE063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1</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lang w:eastAsia="zh-CN"/>
        </w:rPr>
        <w:t>. 制作好的食品应存放在专用的储存容器或设备中，并标明品名、生产日期和保质期。</w:t>
      </w:r>
    </w:p>
    <w:p w14:paraId="719B91B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14</w:t>
      </w:r>
      <w:r>
        <w:rPr>
          <w:rFonts w:hint="eastAsia" w:ascii="仿宋_GB2312" w:hAnsi="仿宋_GB2312" w:eastAsia="仿宋_GB2312" w:cs="仿宋_GB2312"/>
          <w:sz w:val="32"/>
          <w:szCs w:val="32"/>
          <w:lang w:eastAsia="zh-CN"/>
        </w:rPr>
        <w:t>. 食品的运输应使用专用的运输工具，确保食品在运输过程中不受污染和变质。</w:t>
      </w:r>
    </w:p>
    <w:p w14:paraId="302C168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1</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lang w:eastAsia="zh-CN"/>
        </w:rPr>
        <w:t>. 定期对专间进行检查，包括环境卫生、设备设施、食品制作等方面，确保符合食品安全要求。</w:t>
      </w:r>
    </w:p>
    <w:p w14:paraId="3C1BE31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16</w:t>
      </w:r>
      <w:r>
        <w:rPr>
          <w:rFonts w:hint="eastAsia" w:ascii="仿宋_GB2312" w:hAnsi="仿宋_GB2312" w:eastAsia="仿宋_GB2312" w:cs="仿宋_GB2312"/>
          <w:sz w:val="32"/>
          <w:szCs w:val="32"/>
          <w:lang w:eastAsia="zh-CN"/>
        </w:rPr>
        <w:t>. 对工作人员进行定期考核，检查其是否遵守操作规程和食品安全知识掌握情况。</w:t>
      </w:r>
    </w:p>
    <w:p w14:paraId="3518EE54">
      <w:pPr>
        <w:keepNext w:val="0"/>
        <w:keepLines w:val="0"/>
        <w:pageBreakBefore w:val="0"/>
        <w:widowControl/>
        <w:kinsoku/>
        <w:wordWrap/>
        <w:overflowPunct/>
        <w:topLinePunct w:val="0"/>
        <w:autoSpaceDE/>
        <w:autoSpaceDN/>
        <w:bidi w:val="0"/>
        <w:adjustRightInd/>
        <w:snapToGrid/>
        <w:spacing w:line="560" w:lineRule="exact"/>
        <w:ind w:firstLine="480"/>
        <w:textAlignment w:val="auto"/>
        <w:rPr>
          <w:rFonts w:hint="default" w:ascii="黑体" w:hAnsi="黑体" w:eastAsia="黑体" w:cs="黑体"/>
          <w:b w:val="0"/>
          <w:bCs w:val="0"/>
          <w:color w:val="000000"/>
          <w:kern w:val="0"/>
          <w:sz w:val="32"/>
          <w:szCs w:val="32"/>
          <w:lang w:val="en-US" w:eastAsia="zh-CN"/>
        </w:rPr>
      </w:pPr>
      <w:r>
        <w:rPr>
          <w:rFonts w:hint="eastAsia" w:ascii="黑体" w:hAnsi="黑体" w:eastAsia="黑体" w:cs="黑体"/>
          <w:b w:val="0"/>
          <w:bCs w:val="0"/>
          <w:color w:val="000000"/>
          <w:kern w:val="0"/>
          <w:sz w:val="32"/>
          <w:szCs w:val="32"/>
          <w:lang w:val="en-US" w:eastAsia="zh-CN"/>
        </w:rPr>
        <w:t>十九、食品卫生综合检查制度</w:t>
      </w:r>
    </w:p>
    <w:p w14:paraId="722C787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1. 食品原料：检查原料的来源、质量、储存条件等，确保原料符合卫生标准，无霉变、腐败、污染等情况。</w:t>
      </w:r>
    </w:p>
    <w:p w14:paraId="55B3675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2. 生产加工过程：检查生产车间的卫生状况、设备设施的清洁程度、工艺流程的合规性等，确保生产过程符合卫生要求。</w:t>
      </w:r>
    </w:p>
    <w:p w14:paraId="77A4CD7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3. 储存与运输：检查食品的储存条件、运输工具的卫生状况等，确保食品在储存和运输过程中不受污染。</w:t>
      </w:r>
    </w:p>
    <w:p w14:paraId="465B912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4. 销售环节：检查销售场所的卫生环境、食品的陈列方式、销售人员的个人卫生等，确保食品在销售过程中保持卫生。</w:t>
      </w:r>
    </w:p>
    <w:p w14:paraId="45D471B3">
      <w:pPr>
        <w:keepNext w:val="0"/>
        <w:keepLines w:val="0"/>
        <w:pageBreakBefore w:val="0"/>
        <w:widowControl/>
        <w:kinsoku/>
        <w:wordWrap/>
        <w:overflowPunct/>
        <w:topLinePunct w:val="0"/>
        <w:autoSpaceDE/>
        <w:autoSpaceDN/>
        <w:bidi w:val="0"/>
        <w:adjustRightInd/>
        <w:snapToGrid/>
        <w:spacing w:line="560" w:lineRule="exact"/>
        <w:ind w:firstLine="480"/>
        <w:textAlignment w:val="auto"/>
        <w:rPr>
          <w:rFonts w:hint="default" w:ascii="黑体" w:hAnsi="黑体" w:eastAsia="黑体" w:cs="黑体"/>
          <w:b w:val="0"/>
          <w:bCs w:val="0"/>
          <w:color w:val="000000"/>
          <w:kern w:val="0"/>
          <w:sz w:val="32"/>
          <w:szCs w:val="32"/>
          <w:lang w:val="en-US" w:eastAsia="zh-CN"/>
        </w:rPr>
      </w:pPr>
      <w:r>
        <w:rPr>
          <w:rFonts w:hint="eastAsia" w:ascii="黑体" w:hAnsi="黑体" w:eastAsia="黑体" w:cs="黑体"/>
          <w:b w:val="0"/>
          <w:bCs w:val="0"/>
          <w:color w:val="000000"/>
          <w:kern w:val="0"/>
          <w:sz w:val="32"/>
          <w:szCs w:val="32"/>
          <w:lang w:val="en-US" w:eastAsia="zh-CN"/>
        </w:rPr>
        <w:t>二十、投诉处理制度</w:t>
      </w:r>
    </w:p>
    <w:p w14:paraId="2F3BD74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1.提供多种投诉渠道，如电话、邮件、在线平台等，确保24小时开放，方便投诉人随时进行投诉。接收投诉后，进行登记并收集投诉人的基本信息、投诉内容、投诉对象、投诉时间等重要信息。对投诉进行初步审核，判断是否符合受理条件，并向投诉人解释原因。</w:t>
      </w:r>
    </w:p>
    <w:p w14:paraId="5851E3E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2. 在调查前进行必要的准备工作，如收集背景资料、确定调查人员等。进行深入调查，收集证据，与相关人员沟通，还原事实真相。编写详细的调查报告，总结调查结果，提出处理建议。</w:t>
      </w:r>
    </w:p>
    <w:p w14:paraId="2439357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3. 根据调查报告的结论，制定相应的处理方案。与投诉人进行沟通，解释处理结果，并寻求其理解和满意。对于涉及责任人的问题，依法依规进行处理，并对改进措施进行跟进。</w:t>
      </w:r>
    </w:p>
    <w:p w14:paraId="508D80E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4. 在处理投诉过程中，应尊重事实，勇于承担责任，对非我方责任也应表示感谢。对投诉人进行解释时，应掌握分寸，严守公司机密。</w:t>
      </w:r>
    </w:p>
    <w:p w14:paraId="22750A1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投诉处理过程应有详细记录备查，并建立客户资料库，保持与客户的联系。</w:t>
      </w:r>
    </w:p>
    <w:p w14:paraId="06A1289C">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定期对投诉处理制度进行审查和改进，以适应企业发展和客户需求的变化。对投诉处理过程中发现的问题进行总结，制定预防措施，避免类似问题再次发生。</w:t>
      </w:r>
    </w:p>
    <w:p w14:paraId="6B05211A">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sz w:val="32"/>
          <w:szCs w:val="32"/>
          <w:lang w:eastAsia="zh-CN"/>
        </w:rPr>
      </w:pPr>
    </w:p>
    <w:p w14:paraId="06AD21B8">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sz w:val="32"/>
          <w:szCs w:val="32"/>
          <w:lang w:eastAsia="zh-CN"/>
        </w:rPr>
      </w:pPr>
    </w:p>
    <w:p w14:paraId="1FBB884E">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sz w:val="32"/>
          <w:szCs w:val="32"/>
          <w:lang w:eastAsia="zh-CN"/>
        </w:rPr>
      </w:pPr>
    </w:p>
    <w:p w14:paraId="24A450E7">
      <w:pPr>
        <w:jc w:val="right"/>
        <w:rPr>
          <w:rFonts w:hint="eastAsia" w:ascii="楷体" w:hAnsi="楷体" w:eastAsia="楷体" w:cs="楷体"/>
          <w:color w:val="000000"/>
          <w:kern w:val="0"/>
          <w:sz w:val="24"/>
          <w:lang w:val="en-US" w:eastAsia="zh-CN"/>
        </w:rPr>
      </w:pPr>
      <w:r>
        <w:rPr>
          <w:rFonts w:hint="eastAsia" w:ascii="仿宋_GB2312" w:hAnsi="仿宋_GB2312" w:eastAsia="仿宋_GB2312" w:cs="仿宋_GB2312"/>
          <w:sz w:val="32"/>
          <w:szCs w:val="32"/>
          <w:lang w:val="en-US" w:eastAsia="zh-CN"/>
        </w:rPr>
        <w:t>2023年9月14日</w:t>
      </w:r>
    </w:p>
    <w:p w14:paraId="3044B380">
      <w:pPr>
        <w:rPr>
          <w:rFonts w:hint="eastAsia" w:ascii="楷体" w:hAnsi="楷体" w:eastAsia="楷体" w:cs="楷体"/>
          <w:color w:val="000000"/>
          <w:kern w:val="0"/>
          <w:sz w:val="24"/>
          <w:lang w:val="en-US" w:eastAsia="zh-CN"/>
        </w:rPr>
      </w:pPr>
    </w:p>
    <w:p w14:paraId="22612EF0">
      <w:pPr>
        <w:rPr>
          <w:rFonts w:hint="eastAsia" w:ascii="楷体" w:hAnsi="楷体" w:eastAsia="楷体" w:cs="楷体"/>
          <w:color w:val="000000"/>
          <w:kern w:val="0"/>
          <w:sz w:val="24"/>
          <w:lang w:val="en-US" w:eastAsia="zh-CN"/>
        </w:rPr>
      </w:pPr>
    </w:p>
    <w:p w14:paraId="42C1D965">
      <w:pPr>
        <w:rPr>
          <w:rFonts w:hint="eastAsia" w:ascii="楷体" w:hAnsi="楷体" w:eastAsia="楷体" w:cs="楷体"/>
          <w:color w:val="000000"/>
          <w:kern w:val="0"/>
          <w:sz w:val="24"/>
          <w:lang w:val="en-US" w:eastAsia="zh-CN"/>
        </w:rPr>
      </w:pPr>
    </w:p>
    <w:p w14:paraId="14613332">
      <w:pPr>
        <w:rPr>
          <w:rFonts w:hint="eastAsia" w:ascii="楷体" w:hAnsi="楷体" w:eastAsia="楷体" w:cs="楷体"/>
          <w:color w:val="000000"/>
          <w:kern w:val="0"/>
          <w:sz w:val="24"/>
          <w:lang w:val="en-US" w:eastAsia="zh-CN"/>
        </w:rPr>
      </w:pPr>
    </w:p>
    <w:p w14:paraId="249008A4">
      <w:pPr>
        <w:rPr>
          <w:rFonts w:hint="eastAsia" w:ascii="楷体" w:hAnsi="楷体" w:eastAsia="楷体" w:cs="楷体"/>
          <w:color w:val="000000"/>
          <w:kern w:val="0"/>
          <w:sz w:val="24"/>
          <w:lang w:val="en-US" w:eastAsia="zh-CN"/>
        </w:rPr>
      </w:pPr>
    </w:p>
    <w:p w14:paraId="2229228B">
      <w:pPr>
        <w:rPr>
          <w:rFonts w:hint="eastAsia" w:ascii="楷体" w:hAnsi="楷体" w:eastAsia="楷体" w:cs="楷体"/>
          <w:color w:val="000000"/>
          <w:kern w:val="0"/>
          <w:sz w:val="24"/>
          <w:lang w:val="en-US" w:eastAsia="zh-CN"/>
        </w:rPr>
      </w:pPr>
    </w:p>
    <w:p w14:paraId="6922F569">
      <w:pPr>
        <w:rPr>
          <w:rFonts w:hint="eastAsia" w:ascii="楷体" w:hAnsi="楷体" w:eastAsia="楷体" w:cs="楷体"/>
          <w:color w:val="000000"/>
          <w:kern w:val="0"/>
          <w:sz w:val="24"/>
          <w:lang w:val="en-US" w:eastAsia="zh-CN"/>
        </w:rPr>
      </w:pPr>
    </w:p>
    <w:p w14:paraId="6D722A6F">
      <w:pPr>
        <w:rPr>
          <w:rFonts w:hint="eastAsia" w:ascii="楷体" w:hAnsi="楷体" w:eastAsia="楷体" w:cs="楷体"/>
          <w:color w:val="000000"/>
          <w:kern w:val="0"/>
          <w:sz w:val="24"/>
          <w:lang w:val="en-US" w:eastAsia="zh-CN"/>
        </w:rPr>
      </w:pPr>
    </w:p>
    <w:p w14:paraId="4C831935">
      <w:pPr>
        <w:rPr>
          <w:rFonts w:hint="eastAsia" w:ascii="楷体" w:hAnsi="楷体" w:eastAsia="楷体" w:cs="楷体"/>
          <w:color w:val="000000"/>
          <w:kern w:val="0"/>
          <w:sz w:val="24"/>
          <w:lang w:val="en-US" w:eastAsia="zh-CN"/>
        </w:rPr>
      </w:pPr>
    </w:p>
    <w:p w14:paraId="475C58A4">
      <w:pPr>
        <w:rPr>
          <w:rFonts w:hint="eastAsia" w:ascii="楷体" w:hAnsi="楷体" w:eastAsia="楷体" w:cs="楷体"/>
          <w:color w:val="000000"/>
          <w:kern w:val="0"/>
          <w:sz w:val="24"/>
          <w:lang w:val="en-US" w:eastAsia="zh-CN"/>
        </w:rPr>
      </w:pPr>
    </w:p>
    <w:p w14:paraId="1755335F">
      <w:pPr>
        <w:rPr>
          <w:rFonts w:hint="eastAsia" w:ascii="楷体" w:hAnsi="楷体" w:eastAsia="楷体" w:cs="楷体"/>
          <w:color w:val="000000"/>
          <w:kern w:val="0"/>
          <w:sz w:val="24"/>
          <w:lang w:val="en-US" w:eastAsia="zh-CN"/>
        </w:rPr>
      </w:pPr>
    </w:p>
    <w:p w14:paraId="308A2F9C">
      <w:pPr>
        <w:rPr>
          <w:rFonts w:hint="eastAsia" w:ascii="楷体" w:hAnsi="楷体" w:eastAsia="楷体" w:cs="楷体"/>
          <w:color w:val="000000"/>
          <w:kern w:val="0"/>
          <w:sz w:val="24"/>
          <w:lang w:val="en-US" w:eastAsia="zh-CN"/>
        </w:rPr>
      </w:pPr>
    </w:p>
    <w:p w14:paraId="79FCDD7E">
      <w:pPr>
        <w:rPr>
          <w:rFonts w:hint="eastAsia" w:ascii="楷体" w:hAnsi="楷体" w:eastAsia="楷体" w:cs="楷体"/>
          <w:color w:val="000000"/>
          <w:kern w:val="0"/>
          <w:sz w:val="24"/>
          <w:lang w:val="en-US" w:eastAsia="zh-CN"/>
        </w:rPr>
      </w:pPr>
    </w:p>
    <w:p w14:paraId="196F6517">
      <w:pPr>
        <w:rPr>
          <w:rFonts w:hint="eastAsia" w:ascii="楷体" w:hAnsi="楷体" w:eastAsia="楷体" w:cs="楷体"/>
          <w:color w:val="000000"/>
          <w:kern w:val="0"/>
          <w:sz w:val="24"/>
          <w:lang w:val="en-US" w:eastAsia="zh-CN"/>
        </w:rPr>
      </w:pPr>
    </w:p>
    <w:p w14:paraId="6BA54E44">
      <w:pPr>
        <w:rPr>
          <w:rFonts w:hint="eastAsia" w:ascii="楷体" w:hAnsi="楷体" w:eastAsia="楷体" w:cs="楷体"/>
          <w:color w:val="000000"/>
          <w:kern w:val="0"/>
          <w:sz w:val="24"/>
          <w:lang w:val="en-US" w:eastAsia="zh-CN"/>
        </w:rPr>
      </w:pPr>
    </w:p>
    <w:p w14:paraId="5D69C5BA">
      <w:pPr>
        <w:rPr>
          <w:rFonts w:hint="eastAsia" w:ascii="楷体" w:hAnsi="楷体" w:eastAsia="楷体" w:cs="楷体"/>
          <w:color w:val="000000"/>
          <w:kern w:val="0"/>
          <w:sz w:val="24"/>
          <w:lang w:val="en-US" w:eastAsia="zh-CN"/>
        </w:rPr>
      </w:pPr>
    </w:p>
    <w:p w14:paraId="478EB599">
      <w:pPr>
        <w:rPr>
          <w:rFonts w:hint="eastAsia" w:ascii="楷体" w:hAnsi="楷体" w:eastAsia="楷体" w:cs="楷体"/>
          <w:color w:val="000000"/>
          <w:kern w:val="0"/>
          <w:sz w:val="24"/>
          <w:lang w:val="en-US" w:eastAsia="zh-CN"/>
        </w:rPr>
      </w:pPr>
    </w:p>
    <w:p w14:paraId="644EEBE9">
      <w:pPr>
        <w:rPr>
          <w:rFonts w:hint="eastAsia" w:ascii="楷体" w:hAnsi="楷体" w:eastAsia="楷体" w:cs="楷体"/>
          <w:color w:val="000000"/>
          <w:kern w:val="0"/>
          <w:sz w:val="24"/>
          <w:lang w:val="en-US" w:eastAsia="zh-CN"/>
        </w:rPr>
      </w:pPr>
    </w:p>
    <w:p w14:paraId="330C97A6">
      <w:pPr>
        <w:rPr>
          <w:rFonts w:hint="eastAsia" w:ascii="楷体" w:hAnsi="楷体" w:eastAsia="楷体" w:cs="楷体"/>
          <w:color w:val="000000"/>
          <w:kern w:val="0"/>
          <w:sz w:val="24"/>
          <w:lang w:val="en-US" w:eastAsia="zh-CN"/>
        </w:rPr>
      </w:pPr>
    </w:p>
    <w:p w14:paraId="5515C3B5">
      <w:pPr>
        <w:rPr>
          <w:rFonts w:hint="eastAsia" w:ascii="楷体" w:hAnsi="楷体" w:eastAsia="楷体" w:cs="楷体"/>
          <w:color w:val="000000"/>
          <w:kern w:val="0"/>
          <w:sz w:val="24"/>
          <w:lang w:val="en-US" w:eastAsia="zh-CN"/>
        </w:rPr>
      </w:pPr>
    </w:p>
    <w:p w14:paraId="68E22499">
      <w:pPr>
        <w:rPr>
          <w:rFonts w:hint="eastAsia" w:ascii="楷体" w:hAnsi="楷体" w:eastAsia="楷体" w:cs="楷体"/>
          <w:color w:val="000000"/>
          <w:kern w:val="0"/>
          <w:sz w:val="24"/>
          <w:lang w:val="en-US" w:eastAsia="zh-CN"/>
        </w:rPr>
      </w:pPr>
    </w:p>
    <w:p w14:paraId="05A5F10A">
      <w:pPr>
        <w:rPr>
          <w:rFonts w:hint="eastAsia" w:ascii="楷体" w:hAnsi="楷体" w:eastAsia="楷体" w:cs="楷体"/>
          <w:color w:val="000000"/>
          <w:kern w:val="0"/>
          <w:sz w:val="24"/>
          <w:lang w:val="en-US" w:eastAsia="zh-CN"/>
        </w:rPr>
      </w:pPr>
    </w:p>
    <w:p w14:paraId="442335E7">
      <w:pPr>
        <w:rPr>
          <w:rFonts w:hint="eastAsia" w:ascii="楷体" w:hAnsi="楷体" w:eastAsia="楷体" w:cs="楷体"/>
          <w:color w:val="000000"/>
          <w:kern w:val="0"/>
          <w:sz w:val="24"/>
          <w:lang w:val="en-US" w:eastAsia="zh-CN"/>
        </w:rPr>
      </w:pPr>
    </w:p>
    <w:p w14:paraId="384D7176">
      <w:pPr>
        <w:rPr>
          <w:rFonts w:hint="eastAsia" w:ascii="楷体" w:hAnsi="楷体" w:eastAsia="楷体" w:cs="楷体"/>
          <w:color w:val="000000"/>
          <w:kern w:val="0"/>
          <w:sz w:val="24"/>
          <w:lang w:val="en-US" w:eastAsia="zh-CN"/>
        </w:rPr>
      </w:pPr>
    </w:p>
    <w:p w14:paraId="5FE27B19">
      <w:pPr>
        <w:rPr>
          <w:rFonts w:hint="eastAsia" w:ascii="楷体" w:hAnsi="楷体" w:eastAsia="楷体" w:cs="楷体"/>
          <w:color w:val="000000"/>
          <w:kern w:val="0"/>
          <w:sz w:val="24"/>
          <w:lang w:val="en-US" w:eastAsia="zh-CN"/>
        </w:rPr>
      </w:pPr>
    </w:p>
    <w:p w14:paraId="6ECA0D15">
      <w:pPr>
        <w:rPr>
          <w:rFonts w:hint="eastAsia" w:ascii="楷体" w:hAnsi="楷体" w:eastAsia="楷体" w:cs="楷体"/>
          <w:color w:val="000000"/>
          <w:kern w:val="0"/>
          <w:sz w:val="24"/>
          <w:lang w:val="en-US" w:eastAsia="zh-CN"/>
        </w:rPr>
      </w:pPr>
    </w:p>
    <w:p w14:paraId="20CC9970">
      <w:pPr>
        <w:rPr>
          <w:rFonts w:hint="eastAsia" w:ascii="楷体" w:hAnsi="楷体" w:eastAsia="楷体" w:cs="楷体"/>
          <w:color w:val="000000"/>
          <w:kern w:val="0"/>
          <w:sz w:val="24"/>
          <w:lang w:val="en-US" w:eastAsia="zh-CN"/>
        </w:rPr>
      </w:pPr>
    </w:p>
    <w:p w14:paraId="47913DD1">
      <w:pPr>
        <w:rPr>
          <w:rFonts w:hint="eastAsia" w:ascii="楷体" w:hAnsi="楷体" w:eastAsia="楷体" w:cs="楷体"/>
          <w:color w:val="000000"/>
          <w:kern w:val="0"/>
          <w:sz w:val="24"/>
          <w:lang w:val="en-US" w:eastAsia="zh-CN"/>
        </w:rPr>
      </w:pPr>
    </w:p>
    <w:p w14:paraId="55FFDAC6">
      <w:pPr>
        <w:rPr>
          <w:rFonts w:hint="eastAsia" w:ascii="楷体" w:hAnsi="楷体" w:eastAsia="楷体" w:cs="楷体"/>
          <w:color w:val="000000"/>
          <w:kern w:val="0"/>
          <w:sz w:val="24"/>
          <w:lang w:val="en-US" w:eastAsia="zh-CN"/>
        </w:rPr>
      </w:pPr>
    </w:p>
    <w:p w14:paraId="27007D34">
      <w:pPr>
        <w:rPr>
          <w:rFonts w:hint="eastAsia" w:ascii="楷体" w:hAnsi="楷体" w:eastAsia="楷体" w:cs="楷体"/>
          <w:color w:val="000000"/>
          <w:kern w:val="0"/>
          <w:sz w:val="24"/>
          <w:lang w:val="en-US" w:eastAsia="zh-CN"/>
        </w:rPr>
      </w:pPr>
    </w:p>
    <w:p w14:paraId="6420DEDA">
      <w:pPr>
        <w:rPr>
          <w:rFonts w:hint="eastAsia" w:ascii="楷体" w:hAnsi="楷体" w:eastAsia="楷体" w:cs="楷体"/>
          <w:color w:val="000000"/>
          <w:kern w:val="0"/>
          <w:sz w:val="24"/>
          <w:lang w:val="en-US" w:eastAsia="zh-CN"/>
        </w:rPr>
      </w:pPr>
    </w:p>
    <w:p w14:paraId="6A3FFE72">
      <w:pPr>
        <w:rPr>
          <w:rFonts w:hint="eastAsia" w:ascii="楷体" w:hAnsi="楷体" w:eastAsia="楷体" w:cs="楷体"/>
          <w:color w:val="000000"/>
          <w:kern w:val="0"/>
          <w:sz w:val="24"/>
          <w:lang w:val="en-US" w:eastAsia="zh-CN"/>
        </w:rPr>
      </w:pPr>
    </w:p>
    <w:p w14:paraId="18ACF92E">
      <w:pPr>
        <w:rPr>
          <w:rFonts w:hint="eastAsia" w:ascii="楷体" w:hAnsi="楷体" w:eastAsia="楷体" w:cs="楷体"/>
          <w:color w:val="000000"/>
          <w:kern w:val="0"/>
          <w:sz w:val="24"/>
          <w:lang w:val="en-US" w:eastAsia="zh-CN"/>
        </w:rPr>
      </w:pPr>
    </w:p>
    <w:p w14:paraId="64EC05FE">
      <w:pPr>
        <w:rPr>
          <w:rFonts w:hint="eastAsia" w:ascii="楷体" w:hAnsi="楷体" w:eastAsia="楷体" w:cs="楷体"/>
          <w:color w:val="000000"/>
          <w:kern w:val="0"/>
          <w:sz w:val="24"/>
          <w:lang w:val="en-US" w:eastAsia="zh-CN"/>
        </w:rPr>
      </w:pPr>
    </w:p>
    <w:p w14:paraId="0DF8D67F">
      <w:pPr>
        <w:rPr>
          <w:rFonts w:hint="eastAsia" w:ascii="楷体" w:hAnsi="楷体" w:eastAsia="楷体" w:cs="楷体"/>
          <w:color w:val="000000"/>
          <w:kern w:val="0"/>
          <w:sz w:val="24"/>
          <w:lang w:val="en-US" w:eastAsia="zh-CN"/>
        </w:rPr>
      </w:pPr>
    </w:p>
    <w:p w14:paraId="4693BFA9">
      <w:pPr>
        <w:rPr>
          <w:rFonts w:hint="eastAsia" w:ascii="楷体" w:hAnsi="楷体" w:eastAsia="楷体" w:cs="楷体"/>
          <w:color w:val="000000"/>
          <w:kern w:val="0"/>
          <w:sz w:val="24"/>
          <w:lang w:val="en-US" w:eastAsia="zh-CN"/>
        </w:rPr>
      </w:pPr>
    </w:p>
    <w:p w14:paraId="7FC33727">
      <w:pPr>
        <w:rPr>
          <w:rFonts w:hint="eastAsia" w:ascii="楷体" w:hAnsi="楷体" w:eastAsia="楷体" w:cs="楷体"/>
          <w:color w:val="000000"/>
          <w:kern w:val="0"/>
          <w:sz w:val="24"/>
          <w:lang w:val="en-US" w:eastAsia="zh-CN"/>
        </w:rPr>
      </w:pPr>
    </w:p>
    <w:p w14:paraId="64F7572A">
      <w:pPr>
        <w:rPr>
          <w:rFonts w:hint="eastAsia" w:ascii="楷体" w:hAnsi="楷体" w:eastAsia="楷体" w:cs="楷体"/>
          <w:color w:val="000000"/>
          <w:kern w:val="0"/>
          <w:sz w:val="24"/>
          <w:lang w:val="en-US" w:eastAsia="zh-CN"/>
        </w:rPr>
      </w:pPr>
    </w:p>
    <w:p w14:paraId="11E8ECEC">
      <w:pPr>
        <w:rPr>
          <w:rFonts w:hint="eastAsia" w:ascii="楷体" w:hAnsi="楷体" w:eastAsia="楷体" w:cs="楷体"/>
          <w:color w:val="000000"/>
          <w:kern w:val="0"/>
          <w:sz w:val="24"/>
          <w:lang w:val="en-US" w:eastAsia="zh-CN"/>
        </w:rPr>
      </w:pPr>
    </w:p>
    <w:p w14:paraId="682DF6EC">
      <w:pPr>
        <w:rPr>
          <w:rFonts w:hint="eastAsia" w:ascii="楷体" w:hAnsi="楷体" w:eastAsia="楷体" w:cs="楷体"/>
          <w:color w:val="000000"/>
          <w:kern w:val="0"/>
          <w:sz w:val="24"/>
          <w:lang w:val="en-US" w:eastAsia="zh-CN"/>
        </w:rPr>
      </w:pPr>
    </w:p>
    <w:p w14:paraId="4E70E443">
      <w:pPr>
        <w:rPr>
          <w:rFonts w:hint="eastAsia" w:ascii="楷体" w:hAnsi="楷体" w:eastAsia="楷体" w:cs="楷体"/>
          <w:color w:val="000000"/>
          <w:kern w:val="0"/>
          <w:sz w:val="24"/>
          <w:lang w:val="en-US" w:eastAsia="zh-CN"/>
        </w:rPr>
      </w:pPr>
    </w:p>
    <w:p w14:paraId="0553FC33">
      <w:pPr>
        <w:rPr>
          <w:rFonts w:hint="eastAsia" w:ascii="楷体" w:hAnsi="楷体" w:eastAsia="楷体" w:cs="楷体"/>
          <w:color w:val="000000"/>
          <w:kern w:val="0"/>
          <w:sz w:val="24"/>
          <w:lang w:val="en-US" w:eastAsia="zh-CN"/>
        </w:rPr>
      </w:pPr>
    </w:p>
    <w:p w14:paraId="275903B7">
      <w:pPr>
        <w:rPr>
          <w:rFonts w:hint="eastAsia" w:ascii="楷体" w:hAnsi="楷体" w:eastAsia="楷体" w:cs="楷体"/>
          <w:color w:val="000000"/>
          <w:kern w:val="0"/>
          <w:sz w:val="24"/>
          <w:lang w:val="en-US" w:eastAsia="zh-CN"/>
        </w:rPr>
      </w:pPr>
    </w:p>
    <w:p w14:paraId="3B6C0F35">
      <w:pPr>
        <w:rPr>
          <w:rFonts w:hint="eastAsia" w:ascii="楷体" w:hAnsi="楷体" w:eastAsia="楷体" w:cs="楷体"/>
          <w:color w:val="000000"/>
          <w:kern w:val="0"/>
          <w:sz w:val="24"/>
          <w:lang w:val="en-US" w:eastAsia="zh-CN"/>
        </w:rPr>
      </w:pPr>
    </w:p>
    <w:p w14:paraId="39EDDA8F">
      <w:pPr>
        <w:rPr>
          <w:rFonts w:hint="eastAsia" w:ascii="楷体" w:hAnsi="楷体" w:eastAsia="楷体" w:cs="楷体"/>
          <w:color w:val="000000"/>
          <w:kern w:val="0"/>
          <w:sz w:val="24"/>
          <w:lang w:val="en-US" w:eastAsia="zh-CN"/>
        </w:rPr>
      </w:pPr>
    </w:p>
    <w:p w14:paraId="6B95D141">
      <w:pPr>
        <w:spacing w:line="560" w:lineRule="exact"/>
        <w:ind w:firstLine="210" w:firstLineChars="100"/>
        <w:jc w:val="center"/>
        <w:rPr>
          <w:rFonts w:hint="eastAsia"/>
          <w:sz w:val="22"/>
          <w:szCs w:val="28"/>
        </w:rPr>
      </w:pPr>
      <w:r>
        <mc:AlternateContent>
          <mc:Choice Requires="wps">
            <w:drawing>
              <wp:anchor distT="0" distB="0" distL="114300" distR="114300" simplePos="0" relativeHeight="251660288" behindDoc="0" locked="0" layoutInCell="1" allowOverlap="1">
                <wp:simplePos x="0" y="0"/>
                <wp:positionH relativeFrom="column">
                  <wp:posOffset>121285</wp:posOffset>
                </wp:positionH>
                <wp:positionV relativeFrom="paragraph">
                  <wp:posOffset>370840</wp:posOffset>
                </wp:positionV>
                <wp:extent cx="5365750" cy="635"/>
                <wp:effectExtent l="0" t="0" r="0" b="0"/>
                <wp:wrapNone/>
                <wp:docPr id="4" name="直接连接符 4"/>
                <wp:cNvGraphicFramePr/>
                <a:graphic xmlns:a="http://schemas.openxmlformats.org/drawingml/2006/main">
                  <a:graphicData uri="http://schemas.microsoft.com/office/word/2010/wordprocessingShape">
                    <wps:wsp>
                      <wps:cNvCnPr/>
                      <wps:spPr>
                        <a:xfrm>
                          <a:off x="0" y="0"/>
                          <a:ext cx="5365750" cy="635"/>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9.55pt;margin-top:29.2pt;height:0.05pt;width:422.5pt;z-index:251660288;mso-width-relative:page;mso-height-relative:page;" filled="f" stroked="t" coordsize="21600,21600" o:gfxdata="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AYTG3vVAAAACAEAAA8AAAAAAAAAAQAgAAAAIgAAAGRycy9kb3ducmV2LnhtbFBLAQIUABQA&#10;AAAIAIdO4kBpPu/o8wEAAOgDAAAOAAAAAAAAAAEAIAAAACQBAABkcnMvZTJvRG9jLnhtbFBLBQYA&#10;AAAABgAGAFkBAACJBQAAAAA=&#10;">
                <v:path arrowok="t"/>
                <v:fill on="f" focussize="0,0"/>
                <v:stroke joinstyle="round"/>
                <v:imagedata o:title=""/>
                <o:lock v:ext="edit" aspectratio="f"/>
              </v:line>
            </w:pict>
          </mc:Fallback>
        </mc:AlternateContent>
      </w:r>
      <w:r>
        <mc:AlternateContent>
          <mc:Choice Requires="wps">
            <w:drawing>
              <wp:anchor distT="0" distB="0" distL="114300" distR="114300" simplePos="0" relativeHeight="251659264" behindDoc="0" locked="0" layoutInCell="1" allowOverlap="1">
                <wp:simplePos x="0" y="0"/>
                <wp:positionH relativeFrom="column">
                  <wp:posOffset>140335</wp:posOffset>
                </wp:positionH>
                <wp:positionV relativeFrom="paragraph">
                  <wp:posOffset>52070</wp:posOffset>
                </wp:positionV>
                <wp:extent cx="5365750" cy="635"/>
                <wp:effectExtent l="0" t="0" r="0" b="0"/>
                <wp:wrapNone/>
                <wp:docPr id="5" name="直接连接符 5"/>
                <wp:cNvGraphicFramePr/>
                <a:graphic xmlns:a="http://schemas.openxmlformats.org/drawingml/2006/main">
                  <a:graphicData uri="http://schemas.microsoft.com/office/word/2010/wordprocessingShape">
                    <wps:wsp>
                      <wps:cNvCnPr/>
                      <wps:spPr>
                        <a:xfrm>
                          <a:off x="0" y="0"/>
                          <a:ext cx="5365750" cy="635"/>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1.05pt;margin-top:4.1pt;height:0.05pt;width:422.5pt;z-index:251659264;mso-width-relative:page;mso-height-relative:page;" filled="f" stroked="t" coordsize="21600,21600" o:gfxdata="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f7iFYNMAAAAGAQAADwAAAAAAAAABACAAAAAiAAAAZHJzL2Rvd25yZXYueG1sUEsBAhQAFAAA&#10;AAgAh07iQBSZWnb0AQAA6AMAAA4AAAAAAAAAAQAgAAAAIgEAAGRycy9lMm9Eb2MueG1sUEsFBgAA&#10;AAAGAAYAWQEAAIgFAAAAAA==&#10;">
                <v:path arrowok="t"/>
                <v:fill on="f" focussize="0,0"/>
                <v:stroke joinstyle="round"/>
                <v:imagedata o:title=""/>
                <o:lock v:ext="edit" aspectratio="f"/>
              </v:line>
            </w:pict>
          </mc:Fallback>
        </mc:AlternateContent>
      </w:r>
      <w:r>
        <w:rPr>
          <w:rFonts w:hint="eastAsia" w:ascii="仿宋_GB2312" w:hAnsi="仿宋_GB2312" w:eastAsia="仿宋_GB2312"/>
          <w:sz w:val="28"/>
          <w:szCs w:val="28"/>
        </w:rPr>
        <w:t>许昌陶瓷职业学院</w:t>
      </w:r>
      <w:r>
        <w:rPr>
          <w:rFonts w:hint="eastAsia" w:ascii="仿宋_GB2312" w:hAnsi="仿宋_GB2312" w:eastAsia="仿宋_GB2312"/>
          <w:sz w:val="28"/>
          <w:szCs w:val="28"/>
          <w:lang w:eastAsia="zh-CN"/>
        </w:rPr>
        <w:t>党政办公室</w:t>
      </w:r>
      <w:r>
        <w:rPr>
          <w:rFonts w:hint="eastAsia" w:ascii="仿宋_GB2312" w:hAnsi="仿宋_GB2312" w:eastAsia="仿宋_GB2312"/>
          <w:sz w:val="28"/>
          <w:szCs w:val="28"/>
        </w:rPr>
        <w:t xml:space="preserve">      </w:t>
      </w:r>
      <w:r>
        <w:rPr>
          <w:rFonts w:hint="eastAsia" w:ascii="仿宋_GB2312" w:hAnsi="仿宋_GB2312" w:eastAsia="仿宋_GB2312"/>
          <w:sz w:val="28"/>
          <w:szCs w:val="28"/>
          <w:lang w:val="en-US" w:eastAsia="zh-CN"/>
        </w:rPr>
        <w:t xml:space="preserve"> </w:t>
      </w:r>
      <w:r>
        <w:rPr>
          <w:rFonts w:hint="eastAsia" w:ascii="仿宋_GB2312" w:hAnsi="仿宋_GB2312" w:eastAsia="仿宋_GB2312"/>
          <w:sz w:val="28"/>
          <w:szCs w:val="28"/>
        </w:rPr>
        <w:t xml:space="preserve"> </w:t>
      </w:r>
      <w:r>
        <w:rPr>
          <w:rFonts w:hint="eastAsia" w:ascii="仿宋_GB2312" w:hAnsi="仿宋_GB2312" w:eastAsia="仿宋_GB2312"/>
          <w:sz w:val="28"/>
          <w:szCs w:val="28"/>
          <w:lang w:val="en-US" w:eastAsia="zh-CN"/>
        </w:rPr>
        <w:t xml:space="preserve">     </w:t>
      </w:r>
      <w:r>
        <w:rPr>
          <w:rFonts w:hint="eastAsia" w:ascii="仿宋_GB2312" w:hAnsi="仿宋_GB2312" w:eastAsia="仿宋_GB2312"/>
          <w:sz w:val="28"/>
          <w:szCs w:val="28"/>
          <w:highlight w:val="none"/>
          <w:lang w:eastAsia="zh-CN"/>
        </w:rPr>
        <w:t xml:space="preserve"> 2023年9月14日</w:t>
      </w:r>
      <w:r>
        <w:rPr>
          <w:rFonts w:hint="eastAsia" w:ascii="仿宋_GB2312" w:hAnsi="仿宋_GB2312" w:eastAsia="仿宋_GB2312"/>
          <w:sz w:val="28"/>
          <w:szCs w:val="28"/>
          <w:highlight w:val="none"/>
        </w:rPr>
        <w:t>印</w:t>
      </w:r>
    </w:p>
    <w:p w14:paraId="4983B67E"/>
    <w:sectPr>
      <w:footerReference r:id="rId3" w:type="default"/>
      <w:pgSz w:w="11906" w:h="16838"/>
      <w:pgMar w:top="2098" w:right="1474" w:bottom="1984" w:left="1587"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00000000000000000"/>
    <w:charset w:val="86"/>
    <w:family w:val="auto"/>
    <w:pitch w:val="default"/>
    <w:sig w:usb0="00000001" w:usb1="0800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56223E">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FDFB0AB">
                          <w:pPr>
                            <w:pStyle w:val="2"/>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  \* MERGEFORMAT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path/>
              <v:fill on="f" focussize="0,0"/>
              <v:stroke on="f"/>
              <v:imagedata o:title=""/>
              <o:lock v:ext="edit" aspectratio="f"/>
              <v:textbox inset="0mm,0mm,0mm,0mm" style="mso-fit-shape-to-text:t;">
                <w:txbxContent>
                  <w:p w14:paraId="7FDFB0AB">
                    <w:pPr>
                      <w:pStyle w:val="2"/>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  \* MERGEFORMAT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FAC2A3E"/>
    <w:multiLevelType w:val="singleLevel"/>
    <w:tmpl w:val="7FAC2A3E"/>
    <w:lvl w:ilvl="0" w:tentative="0">
      <w:start w:val="5"/>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E0OTkwZDYyZjJhYTY3ODA3ODJjYWRjNjFhOWZiZWEifQ=="/>
  </w:docVars>
  <w:rsids>
    <w:rsidRoot w:val="56FA646E"/>
    <w:rsid w:val="56FA646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19</Pages>
  <Words>0</Words>
  <Characters>0</Characters>
  <Lines>0</Lines>
  <Paragraphs>0</Paragraphs>
  <TotalTime>0</TotalTime>
  <ScaleCrop>false</ScaleCrop>
  <LinksUpToDate>false</LinksUpToDate>
  <CharactersWithSpaces>0</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2024-11-21T06:29:00Z</dcterms:created>
  <dc:creator>叫嚣的知更鸟.</dc:creator>
  <cp:lastModifiedBy>叫嚣的知更鸟.</cp:lastModifiedBy>
  <dcterms:modified xsi:type="dcterms:W3CDTF">2024-11-21T06:30:18Z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7F661612BB2A485DBAB0485E52E2C9BB_11</vt:lpwstr>
  </property>
</Properties>
</file>